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финансов Администрации</w:t>
      </w: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Тутаевского муниципального района</w:t>
      </w: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Ярославской области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Оценка качества финансового менеджмента</w:t>
      </w: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главных распорядителей бюджетных средств</w:t>
      </w:r>
    </w:p>
    <w:p w:rsidR="00224837" w:rsidRPr="005553C5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Тутаевского муниципального района</w:t>
      </w:r>
    </w:p>
    <w:p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Ярославской области</w:t>
      </w:r>
    </w:p>
    <w:p w:rsidR="00731C73" w:rsidRDefault="00731C73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:rsidR="00224837" w:rsidRPr="005553C5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по итогам</w:t>
      </w:r>
      <w:r w:rsidR="00731C73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за </w:t>
      </w: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201</w:t>
      </w:r>
      <w:r w:rsidR="002F78F0">
        <w:rPr>
          <w:rFonts w:ascii="Times New Roman" w:hAnsi="Times New Roman" w:cs="Times New Roman"/>
          <w:b/>
          <w:i/>
          <w:sz w:val="32"/>
          <w:szCs w:val="32"/>
          <w:lang w:val="ru-RU"/>
        </w:rPr>
        <w:t>7</w:t>
      </w: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год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sz w:val="32"/>
          <w:szCs w:val="32"/>
          <w:lang w:val="ru-RU"/>
        </w:rPr>
        <w:t>Аналитический отчет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  201</w:t>
      </w:r>
      <w:r w:rsidR="002F78F0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:rsidR="00224837" w:rsidRPr="005553C5" w:rsidRDefault="00224837" w:rsidP="00C265E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lastRenderedPageBreak/>
        <w:t>Оглавление</w:t>
      </w:r>
    </w:p>
    <w:p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8" w:type="dxa"/>
        <w:tblInd w:w="-508" w:type="dxa"/>
        <w:tblLayout w:type="fixed"/>
        <w:tblLook w:val="01E0"/>
      </w:tblPr>
      <w:tblGrid>
        <w:gridCol w:w="8271"/>
        <w:gridCol w:w="850"/>
        <w:gridCol w:w="142"/>
        <w:gridCol w:w="236"/>
        <w:gridCol w:w="331"/>
        <w:gridCol w:w="378"/>
      </w:tblGrid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843424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 часть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843424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ГРБС по оценке качества финансового менеджмента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Рекомендации по повышению качества финансового менеджмента ГРБС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8F5FC1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83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1. Сокращенные наименования ГРБС </w:t>
            </w:r>
          </w:p>
        </w:tc>
        <w:tc>
          <w:tcPr>
            <w:tcW w:w="992" w:type="dxa"/>
            <w:gridSpan w:val="2"/>
          </w:tcPr>
          <w:p w:rsidR="00224837" w:rsidRPr="005553C5" w:rsidRDefault="00224837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E9491F" w:rsidP="000A79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224837" w:rsidRPr="005553C5" w:rsidTr="00513D60">
        <w:trPr>
          <w:gridAfter w:val="1"/>
          <w:wAfter w:w="378" w:type="dxa"/>
          <w:trHeight w:val="1024"/>
        </w:trPr>
        <w:tc>
          <w:tcPr>
            <w:tcW w:w="8271" w:type="dxa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Приложение 2. Сводный рейтинг главных распорядителей бюджетных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средств по качеству финансового менеджмента 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 w:rsidR="0022483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992" w:type="dxa"/>
            <w:gridSpan w:val="2"/>
          </w:tcPr>
          <w:p w:rsidR="0022483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224837" w:rsidRPr="005553C5" w:rsidRDefault="00843424" w:rsidP="00E94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4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E3EB7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1E3EB7" w:rsidRPr="005553C5" w:rsidRDefault="00843424" w:rsidP="00513D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E425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  <w:r w:rsidR="001E3EB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513D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Диаграмма</w:t>
            </w:r>
            <w:r w:rsidR="001E3EB7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</w:t>
            </w:r>
            <w:r w:rsidR="00E42571"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992" w:type="dxa"/>
            <w:gridSpan w:val="2"/>
          </w:tcPr>
          <w:p w:rsidR="001E3EB7" w:rsidRPr="005553C5" w:rsidRDefault="00843424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1E3EB7" w:rsidRPr="005553C5" w:rsidRDefault="00843424" w:rsidP="00E94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4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42571" w:rsidRPr="005553C5" w:rsidTr="006E5235">
        <w:trPr>
          <w:gridAfter w:val="1"/>
          <w:wAfter w:w="378" w:type="dxa"/>
        </w:trPr>
        <w:tc>
          <w:tcPr>
            <w:tcW w:w="8271" w:type="dxa"/>
          </w:tcPr>
          <w:p w:rsidR="00E42571" w:rsidRDefault="00E42571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4. Перечень показателей качества финансового менеджмента ГРБС за 201</w:t>
            </w:r>
            <w:r w:rsidR="00E72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7A0" w:rsidRDefault="00E727A0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7A0" w:rsidRDefault="00E727A0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7A0" w:rsidRDefault="00E727A0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27A0" w:rsidRDefault="00E727A0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820C5" w:rsidRDefault="007820C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265E5" w:rsidRPr="005553C5" w:rsidRDefault="00C265E5" w:rsidP="00B006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E42571" w:rsidRPr="005553C5" w:rsidRDefault="00E42571" w:rsidP="00843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gridSpan w:val="2"/>
          </w:tcPr>
          <w:p w:rsidR="00E42571" w:rsidRPr="005553C5" w:rsidRDefault="00E42571" w:rsidP="00E94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949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4837" w:rsidRPr="005553C5" w:rsidTr="006E5235">
        <w:tc>
          <w:tcPr>
            <w:tcW w:w="9121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224837" w:rsidRPr="005553C5" w:rsidRDefault="002248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224837" w:rsidRPr="005553C5" w:rsidRDefault="00224837" w:rsidP="00A63F78">
      <w:pPr>
        <w:ind w:left="113"/>
        <w:rPr>
          <w:rFonts w:ascii="Times New Roman" w:hAnsi="Times New Roman" w:cs="Times New Roman"/>
          <w:sz w:val="28"/>
          <w:szCs w:val="28"/>
          <w:lang w:val="ru-RU"/>
        </w:rPr>
        <w:sectPr w:rsidR="00224837" w:rsidRPr="005553C5" w:rsidSect="00450F5E"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985" w:header="567" w:footer="567" w:gutter="0"/>
          <w:pgNumType w:start="3"/>
          <w:cols w:space="720"/>
        </w:sectPr>
      </w:pPr>
    </w:p>
    <w:p w:rsidR="00224837" w:rsidRPr="005553C5" w:rsidRDefault="00224837" w:rsidP="00843424">
      <w:pPr>
        <w:pStyle w:val="af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Toc261889898"/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Вводная часть</w:t>
      </w:r>
      <w:bookmarkEnd w:id="1"/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финансового менеджмента главных распорядителей бюджетных средств (ГРБС) проводилась на основании Постановления Администрации Тутаевского муниципального района от 8.11.2013 года № 470 «Об оценке качества финансового менеджмента, осуществляемого главными распорядителями бюджетных средств».   </w:t>
      </w:r>
    </w:p>
    <w:p w:rsidR="0099132E" w:rsidRPr="005553C5" w:rsidRDefault="002104DD" w:rsidP="009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32E">
        <w:rPr>
          <w:rFonts w:eastAsia="Times New Roman" w:cstheme="minorHAnsi"/>
          <w:sz w:val="28"/>
          <w:szCs w:val="28"/>
          <w:lang w:val="ru-RU"/>
        </w:rPr>
        <w:t>Качество</w:t>
      </w:r>
      <w:r w:rsidRPr="0099132E">
        <w:rPr>
          <w:rFonts w:eastAsia="Times New Roman" w:cstheme="minorHAnsi"/>
          <w:sz w:val="28"/>
          <w:szCs w:val="28"/>
        </w:rPr>
        <w:t xml:space="preserve"> финансового менеджмента, осуществляемого главными администраторами в существенной степени зависит от организации главным администратором процедур бюджетного планирования, исполнения бюджета, ведения бюджетного учета, составления и представления бюджетной</w:t>
      </w:r>
      <w:r w:rsidR="0099132E" w:rsidRPr="0099132E">
        <w:rPr>
          <w:rFonts w:eastAsia="Times New Roman" w:cstheme="minorHAnsi"/>
          <w:color w:val="FFFFFF" w:themeColor="background1"/>
          <w:sz w:val="28"/>
          <w:szCs w:val="28"/>
          <w:lang w:val="ru-RU"/>
        </w:rPr>
        <w:t>аа</w:t>
      </w:r>
      <w:r w:rsidRPr="0099132E">
        <w:rPr>
          <w:rFonts w:eastAsia="Times New Roman" w:cstheme="minorHAnsi"/>
          <w:sz w:val="28"/>
          <w:szCs w:val="28"/>
        </w:rPr>
        <w:t xml:space="preserve">отчетности. </w:t>
      </w:r>
      <w:r w:rsidRPr="0099132E">
        <w:rPr>
          <w:rFonts w:eastAsia="Times New Roman" w:cstheme="minorHAnsi"/>
          <w:sz w:val="28"/>
          <w:szCs w:val="28"/>
        </w:rPr>
        <w:br/>
      </w:r>
      <w:r w:rsidR="00224837" w:rsidRPr="0099132E">
        <w:rPr>
          <w:rFonts w:cstheme="minorHAnsi"/>
          <w:sz w:val="28"/>
          <w:szCs w:val="28"/>
          <w:lang w:val="ru-RU"/>
        </w:rPr>
        <w:t>Перечень ГРБС, принимавших участие в оценке, с указанием их сокращенных наименований названий приведен в Приложении 1 к настоящему отчету.</w:t>
      </w:r>
      <w:r w:rsidR="0099132E" w:rsidRPr="009913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132E" w:rsidRPr="005553C5">
        <w:rPr>
          <w:rFonts w:ascii="Times New Roman" w:hAnsi="Times New Roman" w:cs="Times New Roman"/>
          <w:sz w:val="28"/>
          <w:szCs w:val="28"/>
          <w:lang w:val="ru-RU"/>
        </w:rPr>
        <w:t>В связи с несопоставимостью данных  МУ «КСП» не оценивалось.</w:t>
      </w:r>
    </w:p>
    <w:p w:rsidR="00224837" w:rsidRPr="005553C5" w:rsidRDefault="00224837" w:rsidP="00991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132E">
        <w:rPr>
          <w:rFonts w:cstheme="minorHAnsi"/>
          <w:sz w:val="28"/>
          <w:szCs w:val="28"/>
          <w:lang w:val="ru-RU"/>
        </w:rPr>
        <w:t>Оценка качества финансового менеджмента производится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направлениям: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формирование бюджета;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оценка результатов исполнения бюджета;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управление обязательствами в процессе исполнения бюджета;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оказание муниципальных услуг (выполнение работ), реструктуризация бюджетного сектора;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учёт и отчётность;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контроль и аудит;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исполнение судебных актов.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Исходные данные для оценки качества финансового менеджмента ГРБС формировались на основании данных из автоматизированных систем «Планирование», «Бюджет»,сервиса «Web-консолидация отчетности» и справочной правовой системы «Консультант-Плюс», а также на основе информации ГРБС по запросу департамента финансов АТМР.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261889901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Выводы по результатам оценки</w:t>
      </w:r>
      <w:bookmarkEnd w:id="2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качества финансового менеджмента ГРБС:</w:t>
      </w:r>
    </w:p>
    <w:p w:rsidR="00224837" w:rsidRPr="005553C5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>сформирован рейтинг ГРБС по оценке качества финансового менеджмента (Раздел 2 настоящего отчета);</w:t>
      </w:r>
    </w:p>
    <w:p w:rsidR="00224837" w:rsidRPr="005553C5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>сформулированы рекомендации по повышению качества финансового менеджмента ГРБС (Раздел 3 настоящего отчета).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в целом можно признать качество финан</w:t>
      </w:r>
      <w:r w:rsidR="005553C5" w:rsidRPr="005553C5">
        <w:rPr>
          <w:rFonts w:ascii="Times New Roman" w:hAnsi="Times New Roman" w:cs="Times New Roman"/>
          <w:sz w:val="28"/>
          <w:szCs w:val="28"/>
          <w:lang w:val="ru-RU"/>
        </w:rPr>
        <w:t>сового менеджмента ГРБС высоким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. Средняя оценка качества финансового менеджмента по всем ГРБС равна </w:t>
      </w:r>
      <w:r w:rsidR="00CA3F6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F78F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3F6F">
        <w:rPr>
          <w:rFonts w:ascii="Times New Roman" w:hAnsi="Times New Roman" w:cs="Times New Roman"/>
          <w:sz w:val="28"/>
          <w:szCs w:val="28"/>
          <w:lang w:val="ru-RU"/>
        </w:rPr>
        <w:t>9,</w:t>
      </w:r>
      <w:r w:rsidR="002F78F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балла</w:t>
      </w:r>
      <w:r w:rsidR="00CA3F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47D18">
        <w:rPr>
          <w:rFonts w:ascii="Times New Roman" w:hAnsi="Times New Roman" w:cs="Times New Roman"/>
          <w:sz w:val="28"/>
          <w:szCs w:val="28"/>
          <w:lang w:val="ru-RU"/>
        </w:rPr>
        <w:t xml:space="preserve"> наблюдается тенденция по ее снижению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Ref236743092"/>
      <w:bookmarkStart w:id="4" w:name="_Toc261889902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2. Рейтинг ГРБС по оценке качества финансового менеджмента</w:t>
      </w:r>
      <w:bookmarkEnd w:id="3"/>
      <w:bookmarkEnd w:id="4"/>
    </w:p>
    <w:p w:rsidR="00224837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Сводный рейтинг главных распорядителей бюджетных средств по качеству финансового менеджмента и распределение баллов по показателям между ГРБС приведены в Приложениях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F218C">
        <w:rPr>
          <w:rFonts w:ascii="Times New Roman" w:hAnsi="Times New Roman" w:cs="Times New Roman"/>
          <w:sz w:val="28"/>
          <w:szCs w:val="28"/>
          <w:lang w:val="ru-RU"/>
        </w:rPr>
        <w:t xml:space="preserve"> и 4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к настоящему отчету.</w:t>
      </w:r>
    </w:p>
    <w:p w:rsidR="00BF218C" w:rsidRPr="005553C5" w:rsidRDefault="00BF218C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Максимально возможная рейтинговая оценка: без учета коэффициента сложности управления финансами - «500 баллов», минимальная «0».</w:t>
      </w:r>
      <w:r w:rsidR="000A79B3">
        <w:rPr>
          <w:rFonts w:ascii="Times New Roman" w:hAnsi="Times New Roman" w:cs="Times New Roman"/>
          <w:sz w:val="28"/>
          <w:szCs w:val="28"/>
          <w:lang w:val="ru-RU"/>
        </w:rPr>
        <w:t xml:space="preserve"> При расчете  были применены весовые коэффициенты сложности управления финансами.</w:t>
      </w:r>
    </w:p>
    <w:p w:rsidR="00224837" w:rsidRPr="00BF218C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высокие рейтинговые оценки</w:t>
      </w:r>
      <w:r w:rsidR="004E7337" w:rsidRPr="00BF218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Высокие рейтинговые оценки за качество финансового менеджмента (более 400 баллов) получили</w:t>
      </w:r>
      <w:r w:rsidR="00247D18">
        <w:rPr>
          <w:rFonts w:ascii="Times New Roman" w:hAnsi="Times New Roman" w:cs="Times New Roman"/>
          <w:sz w:val="28"/>
          <w:szCs w:val="28"/>
          <w:lang w:val="ru-RU"/>
        </w:rPr>
        <w:t xml:space="preserve"> так же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5F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ГРБС</w:t>
      </w:r>
      <w:r w:rsidR="00337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D18">
        <w:rPr>
          <w:rFonts w:ascii="Times New Roman" w:hAnsi="Times New Roman" w:cs="Times New Roman"/>
          <w:sz w:val="28"/>
          <w:szCs w:val="28"/>
          <w:lang w:val="ru-RU"/>
        </w:rPr>
        <w:t>как и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в 201</w:t>
      </w:r>
      <w:r w:rsidR="00247D1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году:</w:t>
      </w:r>
    </w:p>
    <w:p w:rsidR="00247D18" w:rsidRDefault="00247D18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-   департамент труда и социального развития АТМР</w:t>
      </w:r>
    </w:p>
    <w:p w:rsidR="002F78F0" w:rsidRDefault="002F78F0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-   департамент образования АТМР</w:t>
      </w:r>
    </w:p>
    <w:p w:rsidR="00247D18" w:rsidRPr="005553C5" w:rsidRDefault="00247D18" w:rsidP="00247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   -   департамент финансов АТМР</w:t>
      </w:r>
    </w:p>
    <w:p w:rsidR="00224837" w:rsidRDefault="002F78F0" w:rsidP="002F7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53C5" w:rsidRPr="005553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 департамент культуры</w:t>
      </w:r>
      <w:r w:rsidR="002010D5">
        <w:rPr>
          <w:rFonts w:ascii="Times New Roman" w:hAnsi="Times New Roman" w:cs="Times New Roman"/>
          <w:sz w:val="28"/>
          <w:szCs w:val="28"/>
          <w:lang w:val="ru-RU"/>
        </w:rPr>
        <w:t xml:space="preserve">, туризма </w:t>
      </w:r>
      <w:r w:rsidR="00224837"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и молодежной политики АТМР </w:t>
      </w:r>
    </w:p>
    <w:p w:rsidR="00224837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средние рейтинговые оценки:</w:t>
      </w:r>
    </w:p>
    <w:p w:rsidR="00BF218C" w:rsidRDefault="00BF218C" w:rsidP="00BF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Средние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рейтинговые оценки за качество финансового менеджмента (</w:t>
      </w:r>
      <w:r>
        <w:rPr>
          <w:rFonts w:ascii="Times New Roman" w:hAnsi="Times New Roman" w:cs="Times New Roman"/>
          <w:sz w:val="28"/>
          <w:szCs w:val="28"/>
          <w:lang w:val="ru-RU"/>
        </w:rPr>
        <w:t>менее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400 баллов) получили </w:t>
      </w:r>
      <w:r w:rsidR="00EF5FBE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ГРБС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7D18" w:rsidRPr="005553C5" w:rsidRDefault="00247D18" w:rsidP="0024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   Администрация Тутаевского муниципального района</w:t>
      </w:r>
    </w:p>
    <w:p w:rsidR="00247D18" w:rsidRPr="005553C5" w:rsidRDefault="00247D18" w:rsidP="0024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-    департамент муниципального имущества АТМР</w:t>
      </w:r>
    </w:p>
    <w:p w:rsidR="00EF5FBE" w:rsidRPr="005553C5" w:rsidRDefault="00EF5FBE" w:rsidP="00EF5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 -   департамент ЖКХ и </w:t>
      </w:r>
      <w:r w:rsidR="002010D5">
        <w:rPr>
          <w:rFonts w:ascii="Times New Roman" w:hAnsi="Times New Roman" w:cs="Times New Roman"/>
          <w:sz w:val="28"/>
          <w:szCs w:val="28"/>
          <w:lang w:val="ru-RU"/>
        </w:rPr>
        <w:t>транспорта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 АТМР</w:t>
      </w:r>
    </w:p>
    <w:p w:rsidR="00224837" w:rsidRPr="00BF218C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1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ГРБС получившие неудовлетворительные рейтинговые оценки :  </w:t>
      </w:r>
    </w:p>
    <w:p w:rsidR="00843424" w:rsidRPr="005553C5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>Неудовлетворительные, низкие и отрицательные рейтинговые оценки за качество финансового менеджмента (ниже 300 баллов) не получил ни один ГРБС</w:t>
      </w:r>
      <w:r w:rsidR="00843424" w:rsidRPr="00555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1C6E" w:rsidRPr="00E11C6E" w:rsidRDefault="0067294F" w:rsidP="00BF415B">
      <w:pPr>
        <w:pStyle w:val="af5"/>
        <w:spacing w:after="0" w:line="240" w:lineRule="auto"/>
        <w:ind w:left="84"/>
        <w:rPr>
          <w:rFonts w:eastAsia="Calibri" w:cstheme="minorHAnsi"/>
          <w:sz w:val="28"/>
          <w:szCs w:val="28"/>
          <w:lang w:val="ru-RU"/>
        </w:rPr>
      </w:pPr>
      <w:r w:rsidRPr="00E11C6E">
        <w:rPr>
          <w:rFonts w:eastAsia="Calibri" w:cstheme="minorHAnsi"/>
          <w:sz w:val="28"/>
          <w:szCs w:val="28"/>
          <w:lang w:val="ru-RU"/>
        </w:rPr>
        <w:t xml:space="preserve">  </w:t>
      </w:r>
      <w:r w:rsidR="00E11C6E" w:rsidRPr="00E11C6E">
        <w:rPr>
          <w:rFonts w:eastAsia="Calibri" w:cstheme="minorHAnsi"/>
          <w:sz w:val="28"/>
          <w:szCs w:val="28"/>
          <w:lang w:val="ru-RU"/>
        </w:rPr>
        <w:t xml:space="preserve">Общими рекомендациями ГРБС  по </w:t>
      </w:r>
      <w:r w:rsidR="00E11C6E" w:rsidRPr="00E11C6E">
        <w:rPr>
          <w:rFonts w:cstheme="minorHAnsi"/>
          <w:sz w:val="28"/>
          <w:szCs w:val="28"/>
        </w:rPr>
        <w:t>повышению качества финан</w:t>
      </w:r>
      <w:r w:rsidR="00E11C6E" w:rsidRPr="00E11C6E">
        <w:rPr>
          <w:rFonts w:cstheme="minorHAnsi"/>
          <w:sz w:val="28"/>
          <w:szCs w:val="28"/>
        </w:rPr>
        <w:softHyphen/>
        <w:t>сового менеджмента</w:t>
      </w:r>
      <w:r w:rsidR="00E11C6E" w:rsidRPr="00E11C6E">
        <w:rPr>
          <w:rFonts w:eastAsia="Calibri" w:cstheme="minorHAnsi"/>
          <w:sz w:val="28"/>
          <w:szCs w:val="28"/>
        </w:rPr>
        <w:t xml:space="preserve"> </w:t>
      </w:r>
      <w:r w:rsidR="00E11C6E" w:rsidRPr="00E11C6E">
        <w:rPr>
          <w:rFonts w:eastAsia="Calibri" w:cstheme="minorHAnsi"/>
          <w:sz w:val="28"/>
          <w:szCs w:val="28"/>
          <w:lang w:val="ru-RU"/>
        </w:rPr>
        <w:t>являются:</w:t>
      </w:r>
    </w:p>
    <w:p w:rsidR="0067294F" w:rsidRPr="00E11C6E" w:rsidRDefault="00E11C6E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</w:rPr>
      </w:pPr>
      <w:r w:rsidRPr="00E11C6E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E11C6E">
        <w:rPr>
          <w:rFonts w:eastAsia="Calibri" w:cstheme="minorHAnsi"/>
          <w:sz w:val="28"/>
          <w:szCs w:val="28"/>
        </w:rPr>
        <w:t>повысить</w:t>
      </w:r>
      <w:r w:rsidR="00BF415B">
        <w:rPr>
          <w:rFonts w:eastAsia="Calibri" w:cstheme="minorHAnsi"/>
          <w:sz w:val="28"/>
          <w:szCs w:val="28"/>
          <w:lang w:val="ru-RU"/>
        </w:rPr>
        <w:t xml:space="preserve"> </w:t>
      </w:r>
      <w:r w:rsidR="00BF415B" w:rsidRPr="00E11C6E">
        <w:rPr>
          <w:rFonts w:eastAsia="Calibri" w:cstheme="minorHAnsi"/>
          <w:sz w:val="28"/>
          <w:szCs w:val="28"/>
        </w:rPr>
        <w:t>качество</w:t>
      </w:r>
      <w:r w:rsidR="0067294F" w:rsidRPr="00E11C6E">
        <w:rPr>
          <w:rFonts w:eastAsia="Calibri" w:cstheme="minorHAnsi"/>
          <w:sz w:val="28"/>
          <w:szCs w:val="28"/>
        </w:rPr>
        <w:t xml:space="preserve"> </w:t>
      </w:r>
      <w:r w:rsidR="00BF415B" w:rsidRPr="00BF415B">
        <w:rPr>
          <w:rFonts w:eastAsia="Calibri" w:cstheme="minorHAnsi"/>
          <w:sz w:val="28"/>
          <w:szCs w:val="28"/>
          <w:lang w:val="ru-RU"/>
        </w:rPr>
        <w:t>предоставления</w:t>
      </w:r>
      <w:r w:rsidR="00BF415B" w:rsidRPr="00BF415B">
        <w:rPr>
          <w:rFonts w:ascii="Times New Roman" w:hAnsi="Times New Roman" w:cs="Times New Roman"/>
          <w:sz w:val="28"/>
          <w:szCs w:val="28"/>
          <w:lang w:val="ru-RU"/>
        </w:rPr>
        <w:t xml:space="preserve"> фрагмента   реестра расходных     обязательств</w:t>
      </w:r>
      <w:r w:rsidR="00BF415B" w:rsidRPr="00BF415B">
        <w:rPr>
          <w:rFonts w:ascii="Times New Roman" w:hAnsi="Times New Roman" w:cs="Times New Roman"/>
          <w:lang w:val="ru-RU"/>
        </w:rPr>
        <w:t xml:space="preserve"> ГРБС</w:t>
      </w:r>
      <w:r w:rsidR="00BF415B">
        <w:rPr>
          <w:rFonts w:ascii="Times New Roman" w:hAnsi="Times New Roman" w:cs="Times New Roman"/>
          <w:lang w:val="ru-RU"/>
        </w:rPr>
        <w:t>,</w:t>
      </w:r>
      <w:r w:rsidR="00BF415B" w:rsidRPr="00E11C6E">
        <w:rPr>
          <w:rFonts w:eastAsia="Calibri" w:cstheme="minorHAnsi"/>
          <w:sz w:val="28"/>
          <w:szCs w:val="28"/>
        </w:rPr>
        <w:t xml:space="preserve"> </w:t>
      </w:r>
      <w:r w:rsidR="0067294F" w:rsidRPr="00E11C6E">
        <w:rPr>
          <w:rFonts w:eastAsia="Calibri" w:cstheme="minorHAnsi"/>
          <w:sz w:val="28"/>
          <w:szCs w:val="28"/>
        </w:rPr>
        <w:t>планирования расходов</w:t>
      </w:r>
      <w:r w:rsidR="00BF415B">
        <w:rPr>
          <w:rFonts w:eastAsia="Calibri" w:cstheme="minorHAnsi"/>
          <w:sz w:val="28"/>
          <w:szCs w:val="28"/>
          <w:lang w:val="ru-RU"/>
        </w:rPr>
        <w:t xml:space="preserve"> бюджета;</w:t>
      </w:r>
      <w:r w:rsidR="0067294F" w:rsidRPr="00E11C6E">
        <w:rPr>
          <w:rFonts w:eastAsia="Calibri" w:cstheme="minorHAnsi"/>
          <w:sz w:val="28"/>
          <w:szCs w:val="28"/>
        </w:rPr>
        <w:t xml:space="preserve"> </w:t>
      </w:r>
    </w:p>
    <w:p w:rsidR="0067294F" w:rsidRPr="00E11C6E" w:rsidRDefault="00E11C6E" w:rsidP="00BF415B">
      <w:p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E11C6E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E11C6E">
        <w:rPr>
          <w:rFonts w:eastAsia="Calibri" w:cstheme="minorHAnsi"/>
          <w:sz w:val="28"/>
          <w:szCs w:val="28"/>
        </w:rPr>
        <w:t>учитывать финансовые возможности бюджета при планировании и осуществлении расходов, поскольку прирост расходов необеспеченный приростом доходов приводит к росту муниципального долга района;</w:t>
      </w:r>
    </w:p>
    <w:p w:rsidR="0067294F" w:rsidRPr="00E11C6E" w:rsidRDefault="00BF415B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  <w:lang w:val="ru-RU"/>
        </w:rPr>
        <w:t xml:space="preserve">-  </w:t>
      </w:r>
      <w:r w:rsidR="0067294F" w:rsidRPr="00E11C6E">
        <w:rPr>
          <w:rFonts w:eastAsia="Calibri" w:cstheme="minorHAnsi"/>
          <w:sz w:val="28"/>
          <w:szCs w:val="28"/>
        </w:rPr>
        <w:t xml:space="preserve">соблюдать установленные законодательством </w:t>
      </w:r>
      <w:r w:rsidR="00E56D1C">
        <w:rPr>
          <w:rFonts w:eastAsia="Calibri" w:cstheme="minorHAnsi"/>
          <w:sz w:val="28"/>
          <w:szCs w:val="28"/>
          <w:lang w:val="ru-RU"/>
        </w:rPr>
        <w:t>Тутаевского МР</w:t>
      </w:r>
      <w:r w:rsidR="0067294F" w:rsidRPr="00E11C6E">
        <w:rPr>
          <w:rFonts w:eastAsia="Calibri" w:cstheme="minorHAnsi"/>
          <w:sz w:val="28"/>
          <w:szCs w:val="28"/>
        </w:rPr>
        <w:t xml:space="preserve"> сроки внесения изменений в действующие НПА по  МП, МЦП, ВЦП;</w:t>
      </w:r>
    </w:p>
    <w:p w:rsidR="0067294F" w:rsidRPr="00E11C6E" w:rsidRDefault="00BF415B" w:rsidP="00BF415B">
      <w:pPr>
        <w:pStyle w:val="af5"/>
        <w:spacing w:after="0" w:line="240" w:lineRule="auto"/>
        <w:ind w:left="84"/>
        <w:jc w:val="both"/>
        <w:rPr>
          <w:rFonts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E11C6E">
        <w:rPr>
          <w:rFonts w:eastAsia="Calibri" w:cstheme="minorHAnsi"/>
          <w:sz w:val="28"/>
          <w:szCs w:val="28"/>
        </w:rPr>
        <w:t>принять меры к повышению эффективности и результативности реализации</w:t>
      </w:r>
      <w:r w:rsidR="0067294F" w:rsidRPr="00E11C6E">
        <w:rPr>
          <w:rFonts w:cstheme="minorHAnsi"/>
          <w:sz w:val="28"/>
          <w:szCs w:val="28"/>
        </w:rPr>
        <w:t xml:space="preserve"> МП, МЦП, ВЦП.</w:t>
      </w:r>
    </w:p>
    <w:p w:rsidR="0067294F" w:rsidRPr="00E11C6E" w:rsidRDefault="00BF415B" w:rsidP="00BF415B">
      <w:pPr>
        <w:pStyle w:val="af5"/>
        <w:spacing w:after="0" w:line="240" w:lineRule="auto"/>
        <w:ind w:left="84"/>
        <w:jc w:val="both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E11C6E">
        <w:rPr>
          <w:rFonts w:eastAsia="Calibri" w:cstheme="minorHAnsi"/>
          <w:sz w:val="28"/>
          <w:szCs w:val="28"/>
        </w:rPr>
        <w:t>провести работы по урегулированию просроченной кредиторской задолженности ГРБС и принять меры к недопущению ее возникновения</w:t>
      </w:r>
      <w:r w:rsidR="00E56D1C">
        <w:rPr>
          <w:rFonts w:eastAsia="Calibri" w:cstheme="minorHAnsi"/>
          <w:sz w:val="28"/>
          <w:szCs w:val="28"/>
          <w:lang w:val="ru-RU"/>
        </w:rPr>
        <w:t>.</w:t>
      </w:r>
    </w:p>
    <w:p w:rsidR="0067294F" w:rsidRDefault="0067294F" w:rsidP="00BF415B">
      <w:pPr>
        <w:jc w:val="both"/>
        <w:rPr>
          <w:rFonts w:cstheme="minorHAnsi"/>
          <w:sz w:val="28"/>
          <w:szCs w:val="28"/>
          <w:lang w:val="ru-RU"/>
        </w:rPr>
      </w:pPr>
    </w:p>
    <w:p w:rsidR="00BF415B" w:rsidRPr="00BF415B" w:rsidRDefault="00BF415B" w:rsidP="0067294F">
      <w:pPr>
        <w:rPr>
          <w:rFonts w:cstheme="minorHAnsi"/>
          <w:sz w:val="28"/>
          <w:szCs w:val="28"/>
          <w:lang w:val="ru-RU"/>
        </w:rPr>
      </w:pPr>
    </w:p>
    <w:p w:rsidR="007820C5" w:rsidRDefault="007820C5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7337" w:rsidRDefault="00843424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4E7337" w:rsidRPr="005553C5">
        <w:rPr>
          <w:rFonts w:ascii="Times New Roman" w:hAnsi="Times New Roman" w:cs="Times New Roman"/>
          <w:b/>
          <w:sz w:val="28"/>
          <w:szCs w:val="28"/>
          <w:lang w:val="ru-RU"/>
        </w:rPr>
        <w:t>Анализ оценки качества финансового менеджмента ГРБС и рекомендации по ее повышению</w:t>
      </w:r>
    </w:p>
    <w:p w:rsidR="008B0A3F" w:rsidRPr="005553C5" w:rsidRDefault="008B0A3F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53"/>
        <w:gridCol w:w="2102"/>
        <w:gridCol w:w="1011"/>
        <w:gridCol w:w="2691"/>
        <w:gridCol w:w="3212"/>
      </w:tblGrid>
      <w:tr w:rsidR="004E7337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1110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Наименование ГРБС</w:t>
            </w:r>
          </w:p>
        </w:tc>
        <w:tc>
          <w:tcPr>
            <w:tcW w:w="534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Рейтинг ГРБС (баллы)</w:t>
            </w:r>
          </w:p>
        </w:tc>
        <w:tc>
          <w:tcPr>
            <w:tcW w:w="1421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Краткий анализ причин, приведших к снижению уровня оценки финансового менеджмента</w:t>
            </w:r>
          </w:p>
        </w:tc>
        <w:tc>
          <w:tcPr>
            <w:tcW w:w="1696" w:type="pct"/>
          </w:tcPr>
          <w:p w:rsidR="004E7337" w:rsidRPr="000B1896" w:rsidRDefault="004E7337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Рекомендации по повышению качества финансового менеджмента</w:t>
            </w:r>
          </w:p>
        </w:tc>
      </w:tr>
      <w:tr w:rsidR="00BB79A2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110" w:type="pct"/>
            <w:vMerge w:val="restart"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департамент труда и социального развития АТМР</w:t>
            </w:r>
          </w:p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 w:val="restart"/>
          </w:tcPr>
          <w:p w:rsidR="00BB79A2" w:rsidRPr="000B1896" w:rsidRDefault="00BB79A2" w:rsidP="002F78F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51</w:t>
            </w:r>
            <w:r w:rsidR="002F78F0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="002F78F0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421" w:type="pct"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B79A2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BB79A2" w:rsidRPr="000B1896" w:rsidRDefault="00BB79A2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0B1896" w:rsidP="002A38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с</w:t>
            </w:r>
            <w:r w:rsidR="00BB79A2" w:rsidRPr="000B1896">
              <w:rPr>
                <w:rFonts w:ascii="Times New Roman" w:hAnsi="Times New Roman" w:cs="Times New Roman"/>
                <w:lang w:val="ru-RU"/>
              </w:rPr>
              <w:t>воевременность представления фрагмента   реестра расходных     обязательств ГРБС</w:t>
            </w:r>
            <w:r w:rsidR="002A3806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BB79A2" w:rsidRPr="000B1896">
              <w:rPr>
                <w:rFonts w:ascii="Times New Roman" w:hAnsi="Times New Roman" w:cs="Times New Roman"/>
                <w:lang w:val="ru-RU"/>
              </w:rPr>
              <w:t>200 из 500)</w:t>
            </w:r>
          </w:p>
        </w:tc>
        <w:tc>
          <w:tcPr>
            <w:tcW w:w="1696" w:type="pct"/>
          </w:tcPr>
          <w:p w:rsidR="00BB79A2" w:rsidRPr="000B1896" w:rsidRDefault="000B1896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</w:t>
            </w:r>
            <w:r w:rsidR="00BB79A2" w:rsidRPr="000B1896">
              <w:rPr>
                <w:rFonts w:ascii="Times New Roman" w:hAnsi="Times New Roman" w:cs="Times New Roman"/>
                <w:lang w:val="ru-RU"/>
              </w:rPr>
              <w:t>ринять меры к соблюдению бюджетной дисциплины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10" w:type="pct"/>
            <w:vMerge w:val="restar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департамент образования АТМР</w:t>
            </w:r>
          </w:p>
        </w:tc>
        <w:tc>
          <w:tcPr>
            <w:tcW w:w="534" w:type="pct"/>
            <w:vMerge w:val="restar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503,3</w:t>
            </w:r>
          </w:p>
        </w:tc>
        <w:tc>
          <w:tcPr>
            <w:tcW w:w="1421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Снижение доли бюджетных ассигнований на оказание услуг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  (0 из 500)</w:t>
            </w:r>
          </w:p>
        </w:tc>
        <w:tc>
          <w:tcPr>
            <w:tcW w:w="1696" w:type="pct"/>
          </w:tcPr>
          <w:p w:rsidR="008B0A3F" w:rsidRPr="000B1896" w:rsidRDefault="002F4B96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Снижение произошло в результате перевода МУ в казенные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низкий прирост объема  доходов МУ (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0B1896">
              <w:rPr>
                <w:rFonts w:ascii="Times New Roman" w:hAnsi="Times New Roman" w:cs="Times New Roman"/>
                <w:lang w:val="ru-RU"/>
              </w:rPr>
              <w:t>00 из 500)</w:t>
            </w:r>
          </w:p>
        </w:tc>
        <w:tc>
          <w:tcPr>
            <w:tcW w:w="1696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eastAsia="Times New Roman" w:hAnsi="Times New Roman" w:cs="Times New Roman"/>
              </w:rPr>
              <w:t>совместно с руководителями подведомственных учреждений  провести работу по повышению эффективности деятельности БУ, в том числе  по развитию предпринимательской и иной приносящей доход деятельности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8B0A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доля бюджетных ассигнований, представленных в программном виде,  по которым утвержденный объем финансирования изменился в течение отчетного года более чем на 15 % от первоначального (</w:t>
            </w:r>
            <w:r>
              <w:rPr>
                <w:rFonts w:ascii="Times New Roman" w:hAnsi="Times New Roman" w:cs="Times New Roman"/>
                <w:lang w:val="ru-RU"/>
              </w:rPr>
              <w:t>100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 из 500)</w:t>
            </w:r>
          </w:p>
        </w:tc>
        <w:tc>
          <w:tcPr>
            <w:tcW w:w="1696" w:type="pct"/>
          </w:tcPr>
          <w:p w:rsidR="008B0A3F" w:rsidRPr="000B1896" w:rsidRDefault="008B0A3F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 xml:space="preserve">принять меры к повышению уровня планирования расходов бюджета в рамках программ </w:t>
            </w:r>
            <w:r w:rsidRPr="000B1896">
              <w:rPr>
                <w:rFonts w:ascii="Times New Roman" w:hAnsi="Times New Roman" w:cs="Times New Roman"/>
                <w:color w:val="000000"/>
              </w:rPr>
              <w:t>на этапе составления</w:t>
            </w:r>
            <w:r w:rsidRPr="000B18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1896">
              <w:rPr>
                <w:rFonts w:ascii="Times New Roman" w:hAnsi="Times New Roman" w:cs="Times New Roman"/>
                <w:color w:val="000000"/>
              </w:rPr>
              <w:t xml:space="preserve"> проекта бюджета</w:t>
            </w:r>
          </w:p>
        </w:tc>
      </w:tr>
      <w:tr w:rsidR="002F78F0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10" w:type="pct"/>
          </w:tcPr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департамент финансов АТМР</w:t>
            </w:r>
          </w:p>
        </w:tc>
        <w:tc>
          <w:tcPr>
            <w:tcW w:w="534" w:type="pct"/>
          </w:tcPr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461,5</w:t>
            </w:r>
          </w:p>
        </w:tc>
        <w:tc>
          <w:tcPr>
            <w:tcW w:w="1421" w:type="pct"/>
          </w:tcPr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2F78F0" w:rsidRPr="000B1896" w:rsidRDefault="002F78F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E727A0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E727A0" w:rsidRPr="000B1896" w:rsidRDefault="00E727A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</w:tcPr>
          <w:p w:rsidR="00E727A0" w:rsidRPr="000B1896" w:rsidRDefault="00E727A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</w:tcPr>
          <w:p w:rsidR="00E727A0" w:rsidRDefault="00E727A0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E727A0" w:rsidRPr="000B1896" w:rsidRDefault="00E727A0" w:rsidP="00E727A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доля бюджетных ассигнований, представленных в программном виде,  по которым утвержденный объем финансирования изменился в течение отчетного года более чем на 15 % от первоначального (</w:t>
            </w:r>
            <w:r>
              <w:rPr>
                <w:rFonts w:ascii="Times New Roman" w:hAnsi="Times New Roman" w:cs="Times New Roman"/>
                <w:lang w:val="ru-RU"/>
              </w:rPr>
              <w:t>100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 из 500)</w:t>
            </w:r>
          </w:p>
        </w:tc>
        <w:tc>
          <w:tcPr>
            <w:tcW w:w="1696" w:type="pct"/>
          </w:tcPr>
          <w:p w:rsidR="00E727A0" w:rsidRPr="000B1896" w:rsidRDefault="00E727A0" w:rsidP="00E727A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 xml:space="preserve">принять меры к повышению уровня планирования расходов бюджета в рамках программ </w:t>
            </w:r>
            <w:r w:rsidRPr="000B1896">
              <w:rPr>
                <w:rFonts w:ascii="Times New Roman" w:hAnsi="Times New Roman" w:cs="Times New Roman"/>
                <w:color w:val="000000"/>
              </w:rPr>
              <w:t>на этапе составления</w:t>
            </w:r>
            <w:r w:rsidRPr="000B18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1896">
              <w:rPr>
                <w:rFonts w:ascii="Times New Roman" w:hAnsi="Times New Roman" w:cs="Times New Roman"/>
                <w:color w:val="000000"/>
              </w:rPr>
              <w:t xml:space="preserve"> проекта бюджета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110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департамент культуры</w:t>
            </w:r>
            <w:r w:rsidR="002010D5">
              <w:rPr>
                <w:rFonts w:ascii="Times New Roman" w:hAnsi="Times New Roman" w:cs="Times New Roman"/>
                <w:b/>
                <w:lang w:val="ru-RU"/>
              </w:rPr>
              <w:t>, туризма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 xml:space="preserve"> и молодежной политики  АТМР</w:t>
            </w:r>
          </w:p>
        </w:tc>
        <w:tc>
          <w:tcPr>
            <w:tcW w:w="534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436,3</w:t>
            </w:r>
          </w:p>
        </w:tc>
        <w:tc>
          <w:tcPr>
            <w:tcW w:w="1421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доля бюджетных ассигнований, представленных в программном виде,  по которым утвержденный объем финансирования изменился в течение отчетного года более чем на 15 % от первоначального (0 из 500)</w:t>
            </w:r>
          </w:p>
        </w:tc>
        <w:tc>
          <w:tcPr>
            <w:tcW w:w="1696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 xml:space="preserve">принять меры к повышению уровня планирования расходов бюджета в рамках программ </w:t>
            </w:r>
            <w:r w:rsidRPr="000B1896">
              <w:rPr>
                <w:rFonts w:ascii="Times New Roman" w:hAnsi="Times New Roman" w:cs="Times New Roman"/>
                <w:color w:val="000000"/>
              </w:rPr>
              <w:t>на этапе составления</w:t>
            </w:r>
            <w:r w:rsidRPr="000B18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1896">
              <w:rPr>
                <w:rFonts w:ascii="Times New Roman" w:hAnsi="Times New Roman" w:cs="Times New Roman"/>
                <w:color w:val="000000"/>
              </w:rPr>
              <w:t xml:space="preserve"> проекта бюджета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изменение дебиторской задолженности в сторону увеличения (0 из 500)</w:t>
            </w:r>
          </w:p>
        </w:tc>
        <w:tc>
          <w:tcPr>
            <w:tcW w:w="1696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провести ревизию расчетов и не допускать роста дебиторской задолженности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8B0A3F" w:rsidP="008B0A3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низкий прирост объема  доходов МУ (0 из 500)</w:t>
            </w:r>
          </w:p>
        </w:tc>
        <w:tc>
          <w:tcPr>
            <w:tcW w:w="1696" w:type="pct"/>
          </w:tcPr>
          <w:p w:rsidR="008B0A3F" w:rsidRPr="000B1896" w:rsidRDefault="008B0A3F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eastAsia="Times New Roman" w:hAnsi="Times New Roman" w:cs="Times New Roman"/>
              </w:rPr>
              <w:t>совместно с руководителями подведомственных учреждений  провести работу по повышению эффективности деятельности БУ, в том числе  по развитию предпринимательской и иной приносящей доход деятельности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8B0A3F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8B0A3F" w:rsidRPr="000B1896" w:rsidRDefault="002F4B96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="008B0A3F">
              <w:rPr>
                <w:rFonts w:ascii="Times New Roman" w:hAnsi="Times New Roman" w:cs="Times New Roman"/>
                <w:lang w:val="ru-RU"/>
              </w:rPr>
              <w:t xml:space="preserve">ффективность управления просроченной кредиторской задолженностью </w:t>
            </w:r>
            <w:r w:rsidR="008B0A3F" w:rsidRPr="000B1896">
              <w:rPr>
                <w:rFonts w:ascii="Times New Roman" w:hAnsi="Times New Roman" w:cs="Times New Roman"/>
                <w:lang w:val="ru-RU"/>
              </w:rPr>
              <w:t>(</w:t>
            </w:r>
            <w:r w:rsidR="008B0A3F">
              <w:rPr>
                <w:rFonts w:ascii="Times New Roman" w:hAnsi="Times New Roman" w:cs="Times New Roman"/>
                <w:lang w:val="ru-RU"/>
              </w:rPr>
              <w:t>100</w:t>
            </w:r>
            <w:r w:rsidR="008B0A3F" w:rsidRPr="000B1896">
              <w:rPr>
                <w:rFonts w:ascii="Times New Roman" w:hAnsi="Times New Roman" w:cs="Times New Roman"/>
                <w:lang w:val="ru-RU"/>
              </w:rPr>
              <w:t xml:space="preserve"> из 500)</w:t>
            </w:r>
          </w:p>
        </w:tc>
        <w:tc>
          <w:tcPr>
            <w:tcW w:w="1696" w:type="pct"/>
          </w:tcPr>
          <w:p w:rsidR="008B0A3F" w:rsidRPr="000B1896" w:rsidRDefault="008B0A3F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принять меры к соблюдению бюджетной дисциплины</w:t>
            </w:r>
          </w:p>
        </w:tc>
      </w:tr>
      <w:tr w:rsidR="008B0A3F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10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Администрация ТМР</w:t>
            </w:r>
          </w:p>
        </w:tc>
        <w:tc>
          <w:tcPr>
            <w:tcW w:w="534" w:type="pct"/>
            <w:vMerge w:val="restar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348,3</w:t>
            </w:r>
          </w:p>
        </w:tc>
        <w:tc>
          <w:tcPr>
            <w:tcW w:w="1421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8B0A3F" w:rsidRPr="000B1896" w:rsidRDefault="008B0A3F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доля бюджетных ассигнований, представленных в программном виде,  по которым утвержденный объем финансирования изменился в течение отчетного года более чем на 15 % от первоначального (0 из 500)</w:t>
            </w:r>
          </w:p>
        </w:tc>
        <w:tc>
          <w:tcPr>
            <w:tcW w:w="1696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 xml:space="preserve">принять меры к повышению уровня планирования расходов бюджета в рамках программ </w:t>
            </w:r>
            <w:r w:rsidRPr="000B1896">
              <w:rPr>
                <w:rFonts w:ascii="Times New Roman" w:hAnsi="Times New Roman" w:cs="Times New Roman"/>
                <w:color w:val="000000"/>
              </w:rPr>
              <w:t>на этапе составления</w:t>
            </w:r>
            <w:r w:rsidRPr="000B18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1896">
              <w:rPr>
                <w:rFonts w:ascii="Times New Roman" w:hAnsi="Times New Roman" w:cs="Times New Roman"/>
                <w:color w:val="000000"/>
              </w:rPr>
              <w:t xml:space="preserve"> проекта бюджета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0B1896">
              <w:rPr>
                <w:rFonts w:ascii="Times New Roman" w:hAnsi="Times New Roman" w:cs="Times New Roman"/>
                <w:lang w:val="ru-RU"/>
              </w:rPr>
              <w:t>воевременность представления фрагмента   реестра расходных     обязательств ГРБС (далее − РРО)  (200 из 500)</w:t>
            </w:r>
          </w:p>
        </w:tc>
        <w:tc>
          <w:tcPr>
            <w:tcW w:w="1696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принять меры к соблюдению бюджетной дисциплины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низкая доля  БА предоставленных  в программном виде (0 из 500)</w:t>
            </w:r>
          </w:p>
        </w:tc>
        <w:tc>
          <w:tcPr>
            <w:tcW w:w="1696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в соответствии с порядком составления проекта бюджета района  не подлежат включению в муниципальные  программы следующие расходы - на содержание органов власти, непредвиденные расходы, финансовое обеспечение которых осуществляется за счет средств резервных фондов, расходы на исполнение судебных актов. Все остальные расходы должны быть включены в состав программ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наличие сумм, подлежащих взысканию по исполнительным документам (0 из 500)</w:t>
            </w:r>
          </w:p>
        </w:tc>
        <w:tc>
          <w:tcPr>
            <w:tcW w:w="1696" w:type="pct"/>
            <w:vMerge w:val="restar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провести работы  по урегулированию кредиторской задолженности ГРБС и БУ, принять меры к недопущению ее возникновения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0B1896">
              <w:rPr>
                <w:rFonts w:ascii="Times New Roman" w:hAnsi="Times New Roman" w:cs="Times New Roman"/>
                <w:lang w:val="ru-RU"/>
              </w:rPr>
              <w:t>риостановление операций по  расходованию средств на лицевых счетах    ГРБС и подведомственных муниципальных учреждений в связи с нарушением процедур исполнения судебных актов,   предусматривающих обращение взыскания на средства бюджета района и средства МУ</w:t>
            </w:r>
          </w:p>
        </w:tc>
        <w:tc>
          <w:tcPr>
            <w:tcW w:w="1696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110" w:type="pct"/>
            <w:vMerge w:val="restar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департамент муниципального имущества АТМР</w:t>
            </w:r>
          </w:p>
        </w:tc>
        <w:tc>
          <w:tcPr>
            <w:tcW w:w="534" w:type="pct"/>
            <w:vMerge w:val="restar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339,9</w:t>
            </w: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низкая доля  БА предоставленных  в программном виде (0 из 500)</w:t>
            </w:r>
          </w:p>
        </w:tc>
        <w:tc>
          <w:tcPr>
            <w:tcW w:w="1696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в соответствии с порядком составления проекта бюджета района  не подлежат включению в муниципальные  программы следующие расходы - на содержание органов власти, непредвиденные расходы, финансовое обеспечение которых осуществляется за счет средств резервных фондов, расходы на исполнение судебных актов. Все остальные расходы должны быть включены в состав программ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0B1896">
              <w:rPr>
                <w:rFonts w:ascii="Times New Roman" w:hAnsi="Times New Roman" w:cs="Times New Roman"/>
                <w:lang w:val="ru-RU"/>
              </w:rPr>
              <w:t>риостановление операций по  расходованию средств на лицевых счетах    ГРБС и подведомственных муниципальных учреждений в связи с нарушением процедур исполнения судебных актов,   предусматривающих обращение взыскания на средства бюджета района и средства МУ</w:t>
            </w:r>
          </w:p>
        </w:tc>
        <w:tc>
          <w:tcPr>
            <w:tcW w:w="1696" w:type="pct"/>
          </w:tcPr>
          <w:p w:rsidR="00B83BAA" w:rsidRPr="000B1896" w:rsidRDefault="00B83BAA" w:rsidP="009251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0B1896">
              <w:rPr>
                <w:rFonts w:ascii="Times New Roman" w:hAnsi="Times New Roman" w:cs="Times New Roman"/>
                <w:lang w:val="ru-RU"/>
              </w:rPr>
              <w:t>ринять меры к соблюдению бюджетной дисциплины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провести ревизию расчетов и не допускать роста </w:t>
            </w:r>
            <w:r>
              <w:rPr>
                <w:rFonts w:ascii="Times New Roman" w:hAnsi="Times New Roman" w:cs="Times New Roman"/>
                <w:lang w:val="ru-RU"/>
              </w:rPr>
              <w:t>кредиторской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 задолженности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изменение дебиторской задолженности в сторону увеличения (0 из 500)</w:t>
            </w:r>
          </w:p>
        </w:tc>
        <w:tc>
          <w:tcPr>
            <w:tcW w:w="1696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провести ревизию расчетов и не допускать роста дебиторской задолженности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 w:val="restar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110" w:type="pct"/>
            <w:vMerge w:val="restart"/>
          </w:tcPr>
          <w:p w:rsidR="00B83BAA" w:rsidRPr="000B1896" w:rsidRDefault="00B83BAA" w:rsidP="002010D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 xml:space="preserve">департамент жилищно-коммунального хозяйства и </w:t>
            </w:r>
            <w:r w:rsidR="002010D5">
              <w:rPr>
                <w:rFonts w:ascii="Times New Roman" w:hAnsi="Times New Roman" w:cs="Times New Roman"/>
                <w:b/>
                <w:lang w:val="ru-RU"/>
              </w:rPr>
              <w:t xml:space="preserve">транспорта </w:t>
            </w:r>
            <w:r w:rsidRPr="000B1896">
              <w:rPr>
                <w:rFonts w:ascii="Times New Roman" w:hAnsi="Times New Roman" w:cs="Times New Roman"/>
                <w:b/>
                <w:lang w:val="ru-RU"/>
              </w:rPr>
              <w:t>АТМР</w:t>
            </w:r>
          </w:p>
        </w:tc>
        <w:tc>
          <w:tcPr>
            <w:tcW w:w="534" w:type="pct"/>
            <w:vMerge w:val="restar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330,0</w:t>
            </w:r>
          </w:p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96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b/>
                <w:lang w:val="ru-RU"/>
              </w:rPr>
              <w:t>Для повышения оценки ГРБС необходимо:</w:t>
            </w:r>
          </w:p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>доля бюджетных ассигнований, представленных в программном виде,  по которым утвержденный объем финансирования изменился в течение отчетного года более чем на 15 % от первоначального (</w:t>
            </w:r>
            <w:r>
              <w:rPr>
                <w:rFonts w:ascii="Times New Roman" w:hAnsi="Times New Roman" w:cs="Times New Roman"/>
                <w:lang w:val="ru-RU"/>
              </w:rPr>
              <w:t>100</w:t>
            </w:r>
            <w:r w:rsidRPr="000B1896">
              <w:rPr>
                <w:rFonts w:ascii="Times New Roman" w:hAnsi="Times New Roman" w:cs="Times New Roman"/>
                <w:lang w:val="ru-RU"/>
              </w:rPr>
              <w:t xml:space="preserve"> из 500)</w:t>
            </w:r>
          </w:p>
        </w:tc>
        <w:tc>
          <w:tcPr>
            <w:tcW w:w="1696" w:type="pct"/>
          </w:tcPr>
          <w:p w:rsidR="00B83BAA" w:rsidRPr="000B1896" w:rsidRDefault="00B83BAA" w:rsidP="00C265E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0B1896">
              <w:rPr>
                <w:rFonts w:ascii="Times New Roman" w:hAnsi="Times New Roman" w:cs="Times New Roman"/>
                <w:lang w:val="ru-RU"/>
              </w:rPr>
              <w:t xml:space="preserve">принять меры к повышению уровня планирования расходов бюджета в рамках программ </w:t>
            </w:r>
            <w:r w:rsidRPr="000B1896">
              <w:rPr>
                <w:rFonts w:ascii="Times New Roman" w:hAnsi="Times New Roman" w:cs="Times New Roman"/>
                <w:color w:val="000000"/>
              </w:rPr>
              <w:t>на этапе составления</w:t>
            </w:r>
            <w:r w:rsidRPr="000B189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B1896">
              <w:rPr>
                <w:rFonts w:ascii="Times New Roman" w:hAnsi="Times New Roman" w:cs="Times New Roman"/>
                <w:color w:val="000000"/>
              </w:rPr>
              <w:t xml:space="preserve"> проекта бюджета</w:t>
            </w:r>
          </w:p>
        </w:tc>
      </w:tr>
      <w:tr w:rsidR="00B83BAA" w:rsidRPr="000B1896" w:rsidTr="00A07E8A">
        <w:trPr>
          <w:cantSplit/>
          <w:trHeight w:val="20"/>
          <w:tblHeader/>
        </w:trPr>
        <w:tc>
          <w:tcPr>
            <w:tcW w:w="239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10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4" w:type="pct"/>
            <w:vMerge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1" w:type="pct"/>
          </w:tcPr>
          <w:p w:rsidR="00B83BAA" w:rsidRPr="000B1896" w:rsidRDefault="00B83BAA" w:rsidP="000B189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Качество предоставляемых фрагментов реестров расходных обязательств</w:t>
            </w:r>
          </w:p>
        </w:tc>
        <w:tc>
          <w:tcPr>
            <w:tcW w:w="1696" w:type="pct"/>
          </w:tcPr>
          <w:p w:rsidR="00B83BAA" w:rsidRPr="000B1896" w:rsidRDefault="00C265E5" w:rsidP="00C265E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C1D41">
              <w:rPr>
                <w:sz w:val="24"/>
                <w:szCs w:val="24"/>
              </w:rPr>
              <w:t xml:space="preserve">повысить качество </w:t>
            </w:r>
            <w:r>
              <w:rPr>
                <w:sz w:val="24"/>
                <w:szCs w:val="24"/>
                <w:lang w:val="ru-RU"/>
              </w:rPr>
              <w:t>подготовки РРО при</w:t>
            </w:r>
            <w:r w:rsidRPr="003C1D41">
              <w:rPr>
                <w:sz w:val="24"/>
                <w:szCs w:val="24"/>
              </w:rPr>
              <w:t xml:space="preserve"> планирования и обосновыва</w:t>
            </w:r>
            <w:r>
              <w:rPr>
                <w:sz w:val="24"/>
                <w:szCs w:val="24"/>
                <w:lang w:val="ru-RU"/>
              </w:rPr>
              <w:t>нии</w:t>
            </w:r>
            <w:r w:rsidRPr="003C1D41">
              <w:rPr>
                <w:sz w:val="24"/>
                <w:szCs w:val="24"/>
              </w:rPr>
              <w:t xml:space="preserve"> расход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3C1D41">
              <w:rPr>
                <w:sz w:val="24"/>
                <w:szCs w:val="24"/>
              </w:rPr>
              <w:t xml:space="preserve"> не только на очередной год, но и на плановый период</w:t>
            </w:r>
          </w:p>
        </w:tc>
      </w:tr>
    </w:tbl>
    <w:p w:rsidR="004E7337" w:rsidRPr="000B1896" w:rsidRDefault="004E7337" w:rsidP="000B189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8743F" w:rsidRDefault="0048743F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Pr="005553C5" w:rsidRDefault="004E7337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1. </w:t>
      </w:r>
    </w:p>
    <w:p w:rsidR="004E7337" w:rsidRPr="000A79B3" w:rsidRDefault="004E7337" w:rsidP="006E52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9B3">
        <w:rPr>
          <w:rFonts w:ascii="Times New Roman" w:hAnsi="Times New Roman" w:cs="Times New Roman"/>
          <w:b/>
          <w:sz w:val="28"/>
          <w:szCs w:val="28"/>
          <w:lang w:val="ru-RU"/>
        </w:rPr>
        <w:t>Сокращенные наименования ГРБС</w:t>
      </w:r>
    </w:p>
    <w:tbl>
      <w:tblPr>
        <w:tblW w:w="929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421"/>
        <w:gridCol w:w="1912"/>
      </w:tblGrid>
      <w:tr w:rsidR="004E7337" w:rsidRPr="005553C5" w:rsidTr="00450F5E">
        <w:trPr>
          <w:trHeight w:val="948"/>
        </w:trPr>
        <w:tc>
          <w:tcPr>
            <w:tcW w:w="960" w:type="dxa"/>
            <w:noWrap/>
            <w:vAlign w:val="bottom"/>
            <w:hideMark/>
          </w:tcPr>
          <w:p w:rsidR="004E7337" w:rsidRPr="005553C5" w:rsidRDefault="004E7337" w:rsidP="006E5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6421" w:type="dxa"/>
            <w:noWrap/>
            <w:vAlign w:val="center"/>
            <w:hideMark/>
          </w:tcPr>
          <w:p w:rsidR="004E7337" w:rsidRPr="005553C5" w:rsidRDefault="004E7337" w:rsidP="006E5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ГРБС</w:t>
            </w:r>
          </w:p>
        </w:tc>
        <w:tc>
          <w:tcPr>
            <w:tcW w:w="1912" w:type="dxa"/>
          </w:tcPr>
          <w:p w:rsidR="004E7337" w:rsidRPr="005553C5" w:rsidRDefault="004E7337" w:rsidP="006E5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Сокращенное наименование ГРБС</w:t>
            </w:r>
          </w:p>
        </w:tc>
      </w:tr>
      <w:tr w:rsidR="004E7337" w:rsidRPr="005553C5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Тутаевского муниципального района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АТМР</w:t>
            </w:r>
          </w:p>
        </w:tc>
      </w:tr>
      <w:tr w:rsidR="004E7337" w:rsidRPr="005553C5" w:rsidTr="00450F5E">
        <w:trPr>
          <w:trHeight w:val="770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муниципального имущества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</w:t>
            </w:r>
          </w:p>
        </w:tc>
      </w:tr>
      <w:tr w:rsidR="004E7337" w:rsidRPr="005553C5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образования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</w:p>
        </w:tc>
      </w:tr>
      <w:tr w:rsidR="004E7337" w:rsidRPr="005553C5" w:rsidTr="00450F5E">
        <w:trPr>
          <w:trHeight w:val="722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труда и социального развития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ДТиСР</w:t>
            </w:r>
          </w:p>
        </w:tc>
      </w:tr>
      <w:tr w:rsidR="004E7337" w:rsidRPr="005553C5" w:rsidTr="00450F5E">
        <w:trPr>
          <w:trHeight w:val="630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финансов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ДФ</w:t>
            </w:r>
          </w:p>
        </w:tc>
      </w:tr>
      <w:tr w:rsidR="004E7337" w:rsidRPr="005553C5" w:rsidTr="00450F5E">
        <w:trPr>
          <w:trHeight w:val="771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421" w:type="dxa"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Департамент культуры</w:t>
            </w:r>
            <w:r w:rsidR="00201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туризма 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молодежной политики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ДКиМП</w:t>
            </w:r>
          </w:p>
        </w:tc>
      </w:tr>
      <w:tr w:rsidR="004E7337" w:rsidRPr="005553C5" w:rsidTr="00450F5E">
        <w:trPr>
          <w:trHeight w:val="812"/>
        </w:trPr>
        <w:tc>
          <w:tcPr>
            <w:tcW w:w="960" w:type="dxa"/>
            <w:noWrap/>
            <w:hideMark/>
          </w:tcPr>
          <w:p w:rsidR="004E7337" w:rsidRPr="005553C5" w:rsidRDefault="004E7337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421" w:type="dxa"/>
            <w:hideMark/>
          </w:tcPr>
          <w:p w:rsidR="004E7337" w:rsidRPr="005553C5" w:rsidRDefault="004E7337" w:rsidP="002010D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Департамент жилищно-коммунального хозяйства и </w:t>
            </w:r>
            <w:r w:rsidR="00201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транспорта</w:t>
            </w: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Администрации ТМР</w:t>
            </w:r>
          </w:p>
        </w:tc>
        <w:tc>
          <w:tcPr>
            <w:tcW w:w="1912" w:type="dxa"/>
          </w:tcPr>
          <w:p w:rsidR="004E7337" w:rsidRPr="005553C5" w:rsidRDefault="004E7337" w:rsidP="00635D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ДЖКХ</w:t>
            </w:r>
          </w:p>
        </w:tc>
      </w:tr>
    </w:tbl>
    <w:p w:rsidR="004E7337" w:rsidRPr="005553C5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Pr="005553C5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65E5" w:rsidRPr="005553C5" w:rsidRDefault="00C265E5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Pr="005553C5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Pr="005553C5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E7337" w:rsidRPr="005553C5" w:rsidRDefault="004E73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20C5" w:rsidRDefault="007820C5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0C5" w:rsidRDefault="007820C5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820C5" w:rsidRDefault="007820C5" w:rsidP="006E52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890" w:type="dxa"/>
        <w:tblInd w:w="93" w:type="dxa"/>
        <w:tblLayout w:type="fixed"/>
        <w:tblLook w:val="04A0"/>
      </w:tblPr>
      <w:tblGrid>
        <w:gridCol w:w="866"/>
        <w:gridCol w:w="864"/>
        <w:gridCol w:w="2254"/>
        <w:gridCol w:w="1495"/>
        <w:gridCol w:w="65"/>
        <w:gridCol w:w="906"/>
        <w:gridCol w:w="511"/>
        <w:gridCol w:w="851"/>
        <w:gridCol w:w="1770"/>
        <w:gridCol w:w="72"/>
        <w:gridCol w:w="236"/>
      </w:tblGrid>
      <w:tr w:rsidR="002F78F0" w:rsidRPr="002F78F0" w:rsidTr="002F78F0">
        <w:trPr>
          <w:trHeight w:val="375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                                           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ind w:hanging="164"/>
              <w:rPr>
                <w:rFonts w:ascii="Calibri" w:eastAsia="Times New Roman" w:hAnsi="Calibri" w:cs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ind w:left="-325" w:hanging="164"/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</w:pPr>
            <w:r w:rsidRPr="002F78F0"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>рПр</w:t>
            </w:r>
            <w:r w:rsidRPr="002F78F0"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>иложение</w:t>
            </w:r>
            <w:r w:rsidR="003660B6"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2F78F0"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 xml:space="preserve"> 2</w:t>
            </w:r>
            <w:r w:rsidR="003660B6">
              <w:rPr>
                <w:rFonts w:eastAsia="Times New Roman" w:cstheme="minorHAnsi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</w:tr>
      <w:tr w:rsidR="002F78F0" w:rsidRPr="002F78F0" w:rsidTr="002F78F0">
        <w:trPr>
          <w:gridAfter w:val="2"/>
          <w:wAfter w:w="308" w:type="dxa"/>
          <w:trHeight w:val="375"/>
        </w:trPr>
        <w:tc>
          <w:tcPr>
            <w:tcW w:w="9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СВОДНЫЙ РЕЙТИНГ ГЛАВНЫХ РАСПОРЯДИТЕЛЕЙ БЮДЖЕТНЫХ СРЕДСТВ ПО КАЧЕСТВУ ФИНАНСОВОГО МЕНЕДЖМЕНТА ЗА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7</w:t>
            </w: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ГОД</w:t>
            </w:r>
          </w:p>
        </w:tc>
      </w:tr>
      <w:tr w:rsidR="002F78F0" w:rsidRPr="002F78F0" w:rsidTr="002F78F0">
        <w:trPr>
          <w:gridAfter w:val="2"/>
          <w:wAfter w:w="308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 w:bidi="ar-SA"/>
              </w:rPr>
            </w:pP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ru-RU" w:eastAsia="ru-RU" w:bidi="ar-SA"/>
              </w:rPr>
            </w:pPr>
          </w:p>
        </w:tc>
      </w:tr>
      <w:tr w:rsidR="002F78F0" w:rsidRPr="002F78F0" w:rsidTr="002F78F0">
        <w:trPr>
          <w:gridAfter w:val="2"/>
          <w:wAfter w:w="308" w:type="dxa"/>
          <w:trHeight w:val="189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 ГРБС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Рейтинговая оценка  (R)</w:t>
            </w:r>
          </w:p>
        </w:tc>
        <w:tc>
          <w:tcPr>
            <w:tcW w:w="23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Интегральная оценка качества финансового менеджмента (КФМ)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Максимальная оценка качества финансового менеджмента (MAX)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3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высокие рейтинговые оценки (R ≥ 400)</w:t>
            </w:r>
          </w:p>
        </w:tc>
      </w:tr>
      <w:tr w:rsidR="002F78F0" w:rsidRPr="002F78F0" w:rsidTr="002F78F0">
        <w:trPr>
          <w:gridAfter w:val="2"/>
          <w:wAfter w:w="308" w:type="dxa"/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труда и социального развития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515,7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419,0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487,5</w:t>
            </w:r>
          </w:p>
        </w:tc>
      </w:tr>
      <w:tr w:rsidR="002F78F0" w:rsidRPr="002F78F0" w:rsidTr="002F78F0">
        <w:trPr>
          <w:gridAfter w:val="2"/>
          <w:wAfter w:w="308" w:type="dxa"/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образования АТМР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503,3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377,5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487,5</w:t>
            </w:r>
          </w:p>
        </w:tc>
      </w:tr>
      <w:tr w:rsidR="002F78F0" w:rsidRPr="002F78F0" w:rsidTr="002F78F0">
        <w:trPr>
          <w:gridAfter w:val="2"/>
          <w:wAfter w:w="308" w:type="dxa"/>
          <w:trHeight w:val="66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финансов АТМР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461,5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330,0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357,5</w:t>
            </w:r>
          </w:p>
        </w:tc>
      </w:tr>
      <w:tr w:rsidR="002F78F0" w:rsidRPr="002F78F0" w:rsidTr="002F78F0">
        <w:trPr>
          <w:gridAfter w:val="2"/>
          <w:wAfter w:w="308" w:type="dxa"/>
          <w:trHeight w:val="66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культуры</w:t>
            </w:r>
            <w:r w:rsidR="00201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туризма </w:t>
            </w: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молодежной политики АТМР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436,5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354,5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487,5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удовлетворительные  рейтинговые оценки (400 &gt;R ≥ 300)</w:t>
            </w:r>
          </w:p>
        </w:tc>
      </w:tr>
      <w:tr w:rsidR="002F78F0" w:rsidRPr="002F78F0" w:rsidTr="002F78F0">
        <w:trPr>
          <w:gridAfter w:val="2"/>
          <w:wAfter w:w="308" w:type="dxa"/>
          <w:trHeight w:val="66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Администрация ТМР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348,3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283,0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487,5</w:t>
            </w:r>
          </w:p>
        </w:tc>
      </w:tr>
      <w:tr w:rsidR="002F78F0" w:rsidRPr="002F78F0" w:rsidTr="002F78F0">
        <w:trPr>
          <w:gridAfter w:val="2"/>
          <w:wAfter w:w="308" w:type="dxa"/>
          <w:trHeight w:val="6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муниципального имущества АТМР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339,9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243,0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357,5</w:t>
            </w:r>
          </w:p>
        </w:tc>
      </w:tr>
      <w:tr w:rsidR="002F78F0" w:rsidRPr="002F78F0" w:rsidTr="002F78F0">
        <w:trPr>
          <w:gridAfter w:val="2"/>
          <w:wAfter w:w="308" w:type="dxa"/>
          <w:trHeight w:val="70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Департамент ЖКХ и транспорта АТМР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330,0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214,5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357,5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95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ГРБС, получившие неудовлетворительные  рейтинговые оценки (300 &gt;R)</w:t>
            </w:r>
          </w:p>
        </w:tc>
      </w:tr>
      <w:tr w:rsidR="002F78F0" w:rsidRPr="002F78F0" w:rsidTr="002F78F0">
        <w:trPr>
          <w:gridAfter w:val="2"/>
          <w:wAfter w:w="308" w:type="dxa"/>
          <w:trHeight w:val="33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Оценка среднего уровня качества финансового менеджмента ГРБС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419,3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8F0" w:rsidRPr="002F78F0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F7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Х</w:t>
            </w:r>
          </w:p>
        </w:tc>
      </w:tr>
    </w:tbl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78F0" w:rsidRDefault="002F78F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29C0" w:rsidRPr="005553C5" w:rsidRDefault="00A629C0" w:rsidP="00A629C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553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3EB7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0F5E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-225425</wp:posOffset>
            </wp:positionV>
            <wp:extent cx="6753225" cy="5172075"/>
            <wp:effectExtent l="19050" t="0" r="9525" b="0"/>
            <wp:wrapThrough wrapText="bothSides">
              <wp:wrapPolygon edited="0">
                <wp:start x="-61" y="0"/>
                <wp:lineTo x="-61" y="21560"/>
                <wp:lineTo x="21630" y="21560"/>
                <wp:lineTo x="21630" y="0"/>
                <wp:lineTo x="-61" y="0"/>
              </wp:wrapPolygon>
            </wp:wrapThrough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Pr="005553C5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Pr="005553C5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3EB7" w:rsidRDefault="001E3EB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0F5E" w:rsidRPr="005553C5" w:rsidRDefault="00450F5E" w:rsidP="00843424">
      <w:pPr>
        <w:rPr>
          <w:rFonts w:ascii="Times New Roman" w:hAnsi="Times New Roman" w:cs="Times New Roman"/>
          <w:sz w:val="28"/>
          <w:szCs w:val="28"/>
          <w:lang w:val="ru-RU"/>
        </w:rPr>
        <w:sectPr w:rsidR="00450F5E" w:rsidRPr="005553C5" w:rsidSect="00450F5E">
          <w:type w:val="continuous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tbl>
      <w:tblPr>
        <w:tblW w:w="14616" w:type="dxa"/>
        <w:tblInd w:w="93" w:type="dxa"/>
        <w:tblLayout w:type="fixed"/>
        <w:tblLook w:val="04A0"/>
      </w:tblPr>
      <w:tblGrid>
        <w:gridCol w:w="14616"/>
      </w:tblGrid>
      <w:tr w:rsidR="003C0DE2" w:rsidRPr="005553C5" w:rsidTr="009A5E89">
        <w:trPr>
          <w:trHeight w:val="33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EB7" w:rsidRPr="005553C5" w:rsidRDefault="001E3EB7" w:rsidP="006E523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53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4.</w:t>
            </w:r>
          </w:p>
          <w:tbl>
            <w:tblPr>
              <w:tblW w:w="14366" w:type="dxa"/>
              <w:tblLayout w:type="fixed"/>
              <w:tblLook w:val="04A0"/>
            </w:tblPr>
            <w:tblGrid>
              <w:gridCol w:w="14366"/>
            </w:tblGrid>
            <w:tr w:rsidR="00EF5FBE" w:rsidRPr="00EF5FBE" w:rsidTr="00945B0E">
              <w:trPr>
                <w:trHeight w:val="330"/>
              </w:trPr>
              <w:tc>
                <w:tcPr>
                  <w:tcW w:w="14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FBE" w:rsidRDefault="00EF5FBE" w:rsidP="00EF5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  <w:r w:rsidRPr="00EF5F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  <w:t>ПЕРЕЧЕНЬ ПОКАЗАТЕЛЕЙ КАЧЕСТВА ФИНАНСОВОГО МЕНЕДЖМЕНТА ГРБС  за 201</w:t>
                  </w:r>
                  <w:r w:rsidR="009A5E8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  <w:t>7</w:t>
                  </w:r>
                  <w:r w:rsidRPr="00EF5F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  <w:t xml:space="preserve"> год </w:t>
                  </w:r>
                </w:p>
                <w:p w:rsidR="009A5E89" w:rsidRDefault="009A5E89" w:rsidP="00EF5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</w:p>
                <w:tbl>
                  <w:tblPr>
                    <w:tblW w:w="13964" w:type="dxa"/>
                    <w:tblLayout w:type="fixed"/>
                    <w:tblLook w:val="04A0"/>
                  </w:tblPr>
                  <w:tblGrid>
                    <w:gridCol w:w="680"/>
                    <w:gridCol w:w="4496"/>
                    <w:gridCol w:w="1276"/>
                    <w:gridCol w:w="1275"/>
                    <w:gridCol w:w="1276"/>
                    <w:gridCol w:w="1134"/>
                    <w:gridCol w:w="1276"/>
                    <w:gridCol w:w="1276"/>
                    <w:gridCol w:w="1275"/>
                  </w:tblGrid>
                  <w:tr w:rsidR="009A5E89" w:rsidRPr="009A5E89" w:rsidTr="009A5E89">
                    <w:trPr>
                      <w:trHeight w:val="45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№ п/п </w:t>
                        </w:r>
                      </w:p>
                    </w:tc>
                    <w:tc>
                      <w:tcPr>
                        <w:tcW w:w="449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Наименование направлений оценки, показателей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АТМР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ДМИ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ДО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ДТ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ДФ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ДК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ДЖКХ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449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8" w:space="0" w:color="auto"/>
                          <w:left w:val="single" w:sz="4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ind w:firstLineChars="100" w:firstLine="16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1.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Формирование бюджета </w:t>
                        </w:r>
                      </w:p>
                    </w:tc>
                  </w:tr>
                  <w:tr w:rsidR="009A5E89" w:rsidRPr="009A5E89" w:rsidTr="009A5E89">
                    <w:trPr>
                      <w:trHeight w:val="351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Качество правовой базы ГРБС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581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1.2.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Своевременность представления фрагмента   реестра расходных     обязательств ГРБС(далее − РРО)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</w:tr>
                  <w:tr w:rsidR="009A5E89" w:rsidRPr="009A5E89" w:rsidTr="009A5E89">
                    <w:trPr>
                      <w:trHeight w:val="405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1.3.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Качество представленных фрагментов реестров     расходных     обязательств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555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1.4.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Наличие  пояснительной записки к фрагменту РРО,  оформленной в  соответствии с  Порядком формирования и ведения   реестра расходных     обязательств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567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1.5.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Подкреплённость плановых расходных обязательств бюджетными расходами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831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1.6.           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Доля бюджетных ассигнований на оказание услуг (выполнение работ) муниципальными учреждениями в соответствии с      муниципальными  заданиями (далее – оказание услуг (выполнение работ) 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984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1.7.           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Доля бюджетных ассигнований,   представленных в программном виде (ведомственных, развития и функционирования, муниципальных (долгосрочных) целевых программ)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</w:tr>
                  <w:tr w:rsidR="009A5E89" w:rsidRPr="009A5E89" w:rsidTr="009A5E89">
                    <w:trPr>
                      <w:trHeight w:val="1126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1.8.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Доля бюджетных ассигнований, представленных в программном виде (ведомственных, развития и функционирования, муниципальных (долгосрочных) целевых программ),  по которым утвержденный объем финансирования изменился в течение отчетного года более чем на 15 % от первоначального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плана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ind w:firstLineChars="100" w:firstLine="16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2.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Оценка результатов исполнения бюджета </w:t>
                        </w:r>
                      </w:p>
                    </w:tc>
                  </w:tr>
                  <w:tr w:rsidR="009A5E89" w:rsidRPr="009A5E89" w:rsidTr="009A5E89">
                    <w:trPr>
                      <w:trHeight w:val="702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Степень использования лимитов бюджетных обязательств (без учёта средств из других бюджетов бюджетной системы РФ)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</w:tr>
                  <w:tr w:rsidR="009A5E89" w:rsidRPr="009A5E89" w:rsidTr="009A5E89">
                    <w:trPr>
                      <w:trHeight w:val="671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Исполнение программных расходов (в рамках ведомственных (развития и функционирования) и долгосрочных целевых программ)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</w:tr>
                  <w:tr w:rsidR="009A5E89" w:rsidRPr="009A5E89" w:rsidTr="009A5E89">
                    <w:trPr>
                      <w:trHeight w:val="709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2.3.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Своевременность уточнения ведомственных (развития и функционирования) и долгосрочных целевых программ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421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2.4.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Доля расходов на оказание услуг (выполнение работ) МУ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ind w:firstLineChars="100" w:firstLine="16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3.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Управление обязательствами в процессе исполнения бюджета </w:t>
                        </w:r>
                      </w:p>
                    </w:tc>
                  </w:tr>
                  <w:tr w:rsidR="009A5E89" w:rsidRPr="009A5E89" w:rsidTr="009A5E89">
                    <w:trPr>
                      <w:trHeight w:val="563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Эффективность управления просроченной кредиторской задолженностью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694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Деятельность ГРБС в части снижения и ликвидации просроченной кредиторской задолженности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704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3.3.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Наличие у ГРБС (РБС) и подведомственных ему муниципальных учреждений нереальной к взысканию дебиторской задолженности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829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3.4.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Изменение дебиторской задолженности ГРБС (РБС) и подведомственных ему муниципальных учреждений на конец отчетного года  по сравнению с началом отчетного года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255"/>
                    </w:trPr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ind w:firstLineChars="100" w:firstLine="16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Оказание муниципальных услуг (выполнение работ), реструктуризация бюджетного сектора</w:t>
                        </w:r>
                      </w:p>
                    </w:tc>
                  </w:tr>
                  <w:tr w:rsidR="009A5E89" w:rsidRPr="009A5E89" w:rsidTr="009A5E89">
                    <w:trPr>
                      <w:trHeight w:val="565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Выполнение муниципальными учреждениями утвержденного муниципального задания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525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Востребованность муниципальных услуг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733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4.3.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Прирост объема доходов муниципальных бюджетных (автономных) учреждений от приносящей доход деятельности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947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4.4.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Установление нормативных затрат на оказание муниципальными учреждениями муниципальных услуг (выполнение работ) и на содержание недвижимого имущества и особо ценного движимого имущества муниципальных учреждений (далее – нормативные затраты)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813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4.5.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Доля муниципальных учреждений, информация о результатах деятельности которых размещена в информационно-телекоммуника-ционной сети «Интернет»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5.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Учет и отчетность</w:t>
                        </w:r>
                      </w:p>
                    </w:tc>
                  </w:tr>
                  <w:tr w:rsidR="009A5E89" w:rsidRPr="009A5E89" w:rsidTr="009A5E89">
                    <w:trPr>
                      <w:trHeight w:val="803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Представление в составе годовой бюджетной отчетности сведений о мерах по повышению    эффективности  расходования    бюджетных средств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583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5.2.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Соблюдение   сроков представления  ГРБС бюджетной отчетности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6. 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Контроль и аудит</w:t>
                        </w:r>
                      </w:p>
                    </w:tc>
                  </w:tr>
                  <w:tr w:rsidR="009A5E89" w:rsidRPr="009A5E89" w:rsidTr="009A5E89">
                    <w:trPr>
                      <w:trHeight w:val="556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6.1.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Динамика финансовых нарушений, выявленных в ходе внешних контрольных мероприятий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574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6.2.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Качество       правового акта ГРБС об организации   ведомственного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555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6.3.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Количество проведенных ГРБС контрольных мероприятий в рамках ведомственного финансового контроля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</w:tr>
                  <w:tr w:rsidR="009A5E89" w:rsidRPr="009A5E89" w:rsidTr="009A5E89">
                    <w:trPr>
                      <w:trHeight w:val="240"/>
                    </w:trPr>
                    <w:tc>
                      <w:tcPr>
                        <w:tcW w:w="6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7. </w:t>
                        </w:r>
                      </w:p>
                    </w:tc>
                    <w:tc>
                      <w:tcPr>
                        <w:tcW w:w="13284" w:type="dxa"/>
                        <w:gridSpan w:val="8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Исполнение  судебных актов          </w:t>
                        </w:r>
                      </w:p>
                    </w:tc>
                  </w:tr>
                  <w:tr w:rsidR="009A5E89" w:rsidRPr="009A5E89" w:rsidTr="009A5E89">
                    <w:trPr>
                      <w:trHeight w:val="571"/>
                    </w:trPr>
                    <w:tc>
                      <w:tcPr>
                        <w:tcW w:w="68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7.1.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Сумма,  подлежащая взысканию      по исполнительным документам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</w:tr>
                  <w:tr w:rsidR="009A5E89" w:rsidRPr="009A5E89" w:rsidTr="009A5E89">
                    <w:trPr>
                      <w:trHeight w:val="1114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 xml:space="preserve"> 7.2.</w:t>
                        </w: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Приостановление операций по  расходованию средств на лицевых счетах    ГРБС и подведомственных муниципальных учреждений в связи с нарушением процедур исполнения судебных актов,   предусматривающих обращение взыскания на средства бюджета района и средства МУ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449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500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95B3D7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400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E46D0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300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2D69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200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CCC0DA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100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6DDE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22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0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8D8D8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  <w:tr w:rsidR="009A5E89" w:rsidRPr="009A5E89" w:rsidTr="009A5E89">
                    <w:trPr>
                      <w:trHeight w:val="375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не применим</w:t>
                        </w:r>
                      </w:p>
                    </w:tc>
                    <w:tc>
                      <w:tcPr>
                        <w:tcW w:w="255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  <w:r w:rsidRPr="009A5E8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5E89" w:rsidRPr="009A5E89" w:rsidRDefault="009A5E89" w:rsidP="009A5E8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9A5E89" w:rsidRDefault="009A5E89" w:rsidP="00EF5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</w:p>
                <w:p w:rsidR="009B4EC0" w:rsidRDefault="009B4EC0" w:rsidP="00EF5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</w:p>
                <w:tbl>
                  <w:tblPr>
                    <w:tblW w:w="7654" w:type="dxa"/>
                    <w:tblInd w:w="10" w:type="dxa"/>
                    <w:tblLayout w:type="fixed"/>
                    <w:tblLook w:val="04A0"/>
                  </w:tblPr>
                  <w:tblGrid>
                    <w:gridCol w:w="1134"/>
                    <w:gridCol w:w="1275"/>
                    <w:gridCol w:w="1106"/>
                    <w:gridCol w:w="1133"/>
                    <w:gridCol w:w="1170"/>
                    <w:gridCol w:w="970"/>
                    <w:gridCol w:w="866"/>
                  </w:tblGrid>
                  <w:tr w:rsidR="008002DF" w:rsidRPr="009B4EC0" w:rsidTr="008002DF">
                    <w:trPr>
                      <w:trHeight w:val="80"/>
                    </w:trPr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  <w:tc>
                      <w:tcPr>
                        <w:tcW w:w="8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002DF" w:rsidRPr="009B4EC0" w:rsidRDefault="008002DF" w:rsidP="009B4E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val="ru-RU" w:eastAsia="ru-RU" w:bidi="ar-SA"/>
                          </w:rPr>
                        </w:pPr>
                      </w:p>
                    </w:tc>
                  </w:tr>
                </w:tbl>
                <w:p w:rsidR="009B4EC0" w:rsidRPr="00EF5FBE" w:rsidRDefault="009B4EC0" w:rsidP="00EF5F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ru-RU" w:eastAsia="ru-RU" w:bidi="ar-SA"/>
                    </w:rPr>
                  </w:pPr>
                </w:p>
              </w:tc>
            </w:tr>
          </w:tbl>
          <w:p w:rsidR="00EF5FBE" w:rsidRPr="005553C5" w:rsidRDefault="00EF5FBE" w:rsidP="00664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F5FBE" w:rsidRPr="005553C5" w:rsidRDefault="00EF5FBE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F5FBE" w:rsidRPr="005553C5" w:rsidSect="00945B0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F2" w:rsidRDefault="00527DF2" w:rsidP="00B67177">
      <w:pPr>
        <w:spacing w:after="0" w:line="240" w:lineRule="auto"/>
      </w:pPr>
      <w:r>
        <w:separator/>
      </w:r>
    </w:p>
  </w:endnote>
  <w:endnote w:type="continuationSeparator" w:id="1">
    <w:p w:rsidR="00527DF2" w:rsidRDefault="00527DF2" w:rsidP="00B6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89" w:rsidRDefault="009A5E89" w:rsidP="00B67DBF">
    <w:pPr>
      <w:pStyle w:val="a9"/>
      <w:ind w:right="360"/>
      <w:rPr>
        <w:rStyle w:val="a7"/>
        <w:rFonts w:eastAsia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F2" w:rsidRDefault="00527DF2" w:rsidP="00B67177">
      <w:pPr>
        <w:spacing w:after="0" w:line="240" w:lineRule="auto"/>
      </w:pPr>
      <w:r>
        <w:separator/>
      </w:r>
    </w:p>
  </w:footnote>
  <w:footnote w:type="continuationSeparator" w:id="1">
    <w:p w:rsidR="00527DF2" w:rsidRDefault="00527DF2" w:rsidP="00B6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89" w:rsidRPr="004051E3" w:rsidRDefault="009A5E89" w:rsidP="00B67DBF">
    <w:pPr>
      <w:pStyle w:val="a5"/>
      <w:ind w:left="0"/>
      <w:jc w:val="center"/>
      <w:rPr>
        <w:rFonts w:ascii="Times New Roman" w:hAnsi="Times New Roman"/>
        <w:b w:val="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E89" w:rsidRPr="00733AF9" w:rsidRDefault="009A5E89" w:rsidP="00B67DBF">
    <w:pPr>
      <w:pStyle w:val="a5"/>
      <w:framePr w:wrap="around" w:vAnchor="text" w:hAnchor="margin" w:xAlign="center" w:y="1"/>
      <w:ind w:left="0" w:right="360"/>
      <w:jc w:val="center"/>
      <w:rPr>
        <w:rFonts w:ascii="Times New Roman" w:hAnsi="Times New Roman"/>
        <w:b w:val="0"/>
        <w:sz w:val="28"/>
        <w:szCs w:val="28"/>
      </w:rPr>
    </w:pP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begin"/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instrText xml:space="preserve"> PAGE </w:instrTex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separate"/>
    </w:r>
    <w:r>
      <w:rPr>
        <w:rStyle w:val="a7"/>
        <w:rFonts w:ascii="Times New Roman" w:eastAsia="Arial Unicode MS" w:hAnsi="Times New Roman"/>
        <w:b w:val="0"/>
        <w:noProof/>
        <w:sz w:val="28"/>
        <w:szCs w:val="28"/>
      </w:rPr>
      <w:t>1</w: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end"/>
    </w:r>
  </w:p>
  <w:p w:rsidR="009A5E89" w:rsidRPr="003C554C" w:rsidRDefault="009A5E89" w:rsidP="00B67DBF">
    <w:pPr>
      <w:pStyle w:val="a5"/>
      <w:ind w:left="0" w:right="360"/>
      <w:jc w:val="center"/>
      <w:rPr>
        <w:rStyle w:val="a7"/>
        <w:rFonts w:ascii="Times New Roman" w:eastAsia="Arial Unicode MS" w:hAnsi="Times New Roman"/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1D8E4EE"/>
    <w:lvl w:ilvl="0">
      <w:start w:val="1"/>
      <w:numFmt w:val="decimal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>
    <w:nsid w:val="11A17D1C"/>
    <w:multiLevelType w:val="hybridMultilevel"/>
    <w:tmpl w:val="341E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F552E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4">
    <w:nsid w:val="2BA10395"/>
    <w:multiLevelType w:val="hybridMultilevel"/>
    <w:tmpl w:val="E0C6CB88"/>
    <w:lvl w:ilvl="0" w:tplc="D0FE2E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94C4E12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6">
    <w:nsid w:val="39FC3A51"/>
    <w:multiLevelType w:val="hybridMultilevel"/>
    <w:tmpl w:val="005E87C4"/>
    <w:lvl w:ilvl="0" w:tplc="8C26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5AC1"/>
    <w:multiLevelType w:val="hybridMultilevel"/>
    <w:tmpl w:val="786E8590"/>
    <w:lvl w:ilvl="0" w:tplc="EE969946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>
    <w:nsid w:val="61A9667D"/>
    <w:multiLevelType w:val="hybridMultilevel"/>
    <w:tmpl w:val="52341634"/>
    <w:lvl w:ilvl="0" w:tplc="FC5E2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01554"/>
    <w:multiLevelType w:val="multilevel"/>
    <w:tmpl w:val="B9F6882E"/>
    <w:lvl w:ilvl="0">
      <w:start w:val="1"/>
      <w:numFmt w:val="none"/>
      <w:pStyle w:val="a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4837"/>
    <w:rsid w:val="000064B8"/>
    <w:rsid w:val="00006A86"/>
    <w:rsid w:val="0002397C"/>
    <w:rsid w:val="000732D4"/>
    <w:rsid w:val="00087646"/>
    <w:rsid w:val="0009046D"/>
    <w:rsid w:val="000A79B3"/>
    <w:rsid w:val="000B1896"/>
    <w:rsid w:val="00136D18"/>
    <w:rsid w:val="00171BC4"/>
    <w:rsid w:val="001831E5"/>
    <w:rsid w:val="001B0D27"/>
    <w:rsid w:val="001B1DB9"/>
    <w:rsid w:val="001E3EB7"/>
    <w:rsid w:val="001F2F28"/>
    <w:rsid w:val="002010D5"/>
    <w:rsid w:val="002015B6"/>
    <w:rsid w:val="002104DD"/>
    <w:rsid w:val="00211095"/>
    <w:rsid w:val="00224837"/>
    <w:rsid w:val="00236AE8"/>
    <w:rsid w:val="00240A69"/>
    <w:rsid w:val="00245044"/>
    <w:rsid w:val="002462E9"/>
    <w:rsid w:val="00247D18"/>
    <w:rsid w:val="00250DAC"/>
    <w:rsid w:val="002A3806"/>
    <w:rsid w:val="002D225E"/>
    <w:rsid w:val="002F4B96"/>
    <w:rsid w:val="002F78F0"/>
    <w:rsid w:val="003206C6"/>
    <w:rsid w:val="003377C9"/>
    <w:rsid w:val="00341220"/>
    <w:rsid w:val="003660B6"/>
    <w:rsid w:val="00381A96"/>
    <w:rsid w:val="003C0DE2"/>
    <w:rsid w:val="003D65EC"/>
    <w:rsid w:val="0041763C"/>
    <w:rsid w:val="00422CDF"/>
    <w:rsid w:val="00444534"/>
    <w:rsid w:val="00450F5E"/>
    <w:rsid w:val="0048743F"/>
    <w:rsid w:val="004912E9"/>
    <w:rsid w:val="004C4831"/>
    <w:rsid w:val="004D24A0"/>
    <w:rsid w:val="004E7337"/>
    <w:rsid w:val="00500FED"/>
    <w:rsid w:val="00513D60"/>
    <w:rsid w:val="00527DF2"/>
    <w:rsid w:val="0055305C"/>
    <w:rsid w:val="005553C5"/>
    <w:rsid w:val="00566CA2"/>
    <w:rsid w:val="005679C7"/>
    <w:rsid w:val="00597646"/>
    <w:rsid w:val="005E47A0"/>
    <w:rsid w:val="005E5CA7"/>
    <w:rsid w:val="005F7392"/>
    <w:rsid w:val="00613C1A"/>
    <w:rsid w:val="00635DAB"/>
    <w:rsid w:val="0065765A"/>
    <w:rsid w:val="006623F8"/>
    <w:rsid w:val="00664DF0"/>
    <w:rsid w:val="0067294F"/>
    <w:rsid w:val="00672C19"/>
    <w:rsid w:val="00693D44"/>
    <w:rsid w:val="006B316B"/>
    <w:rsid w:val="006C7CCB"/>
    <w:rsid w:val="006E5235"/>
    <w:rsid w:val="00721D2F"/>
    <w:rsid w:val="00721ECE"/>
    <w:rsid w:val="00731C73"/>
    <w:rsid w:val="007557D2"/>
    <w:rsid w:val="00757599"/>
    <w:rsid w:val="00766A63"/>
    <w:rsid w:val="00771B1A"/>
    <w:rsid w:val="00780357"/>
    <w:rsid w:val="007820C5"/>
    <w:rsid w:val="00786359"/>
    <w:rsid w:val="00796A29"/>
    <w:rsid w:val="007B79D4"/>
    <w:rsid w:val="007C7E3D"/>
    <w:rsid w:val="008002DF"/>
    <w:rsid w:val="00803966"/>
    <w:rsid w:val="00816A6C"/>
    <w:rsid w:val="00843424"/>
    <w:rsid w:val="00850B1F"/>
    <w:rsid w:val="008805E5"/>
    <w:rsid w:val="0088322D"/>
    <w:rsid w:val="008A3EA7"/>
    <w:rsid w:val="008B0A3F"/>
    <w:rsid w:val="008C3901"/>
    <w:rsid w:val="008D13D8"/>
    <w:rsid w:val="008F5FC1"/>
    <w:rsid w:val="00915619"/>
    <w:rsid w:val="00925178"/>
    <w:rsid w:val="009268AE"/>
    <w:rsid w:val="009312AA"/>
    <w:rsid w:val="00932251"/>
    <w:rsid w:val="00945B0E"/>
    <w:rsid w:val="00970B02"/>
    <w:rsid w:val="009821AC"/>
    <w:rsid w:val="0099132E"/>
    <w:rsid w:val="00997451"/>
    <w:rsid w:val="009A5E89"/>
    <w:rsid w:val="009B2CAD"/>
    <w:rsid w:val="009B4EC0"/>
    <w:rsid w:val="009B4F74"/>
    <w:rsid w:val="009B6462"/>
    <w:rsid w:val="00A052B4"/>
    <w:rsid w:val="00A07E8A"/>
    <w:rsid w:val="00A417FA"/>
    <w:rsid w:val="00A4301F"/>
    <w:rsid w:val="00A629C0"/>
    <w:rsid w:val="00A63F78"/>
    <w:rsid w:val="00AA2DFF"/>
    <w:rsid w:val="00AE3FC0"/>
    <w:rsid w:val="00B00672"/>
    <w:rsid w:val="00B1732F"/>
    <w:rsid w:val="00B40C95"/>
    <w:rsid w:val="00B6087F"/>
    <w:rsid w:val="00B62813"/>
    <w:rsid w:val="00B67177"/>
    <w:rsid w:val="00B67DBF"/>
    <w:rsid w:val="00B70593"/>
    <w:rsid w:val="00B83BAA"/>
    <w:rsid w:val="00BB79A2"/>
    <w:rsid w:val="00BC181B"/>
    <w:rsid w:val="00BD5654"/>
    <w:rsid w:val="00BF218C"/>
    <w:rsid w:val="00BF415B"/>
    <w:rsid w:val="00C01BCF"/>
    <w:rsid w:val="00C154E8"/>
    <w:rsid w:val="00C265E5"/>
    <w:rsid w:val="00C52A5C"/>
    <w:rsid w:val="00C702F9"/>
    <w:rsid w:val="00C93D84"/>
    <w:rsid w:val="00C956FF"/>
    <w:rsid w:val="00CA3F6F"/>
    <w:rsid w:val="00CC4B54"/>
    <w:rsid w:val="00D145DA"/>
    <w:rsid w:val="00D158EF"/>
    <w:rsid w:val="00D27680"/>
    <w:rsid w:val="00D92F97"/>
    <w:rsid w:val="00DA46E9"/>
    <w:rsid w:val="00DC0CAE"/>
    <w:rsid w:val="00DD0B0E"/>
    <w:rsid w:val="00DD7D55"/>
    <w:rsid w:val="00E11C6E"/>
    <w:rsid w:val="00E14334"/>
    <w:rsid w:val="00E42085"/>
    <w:rsid w:val="00E42571"/>
    <w:rsid w:val="00E558B2"/>
    <w:rsid w:val="00E56D1C"/>
    <w:rsid w:val="00E63E5C"/>
    <w:rsid w:val="00E727A0"/>
    <w:rsid w:val="00E83C64"/>
    <w:rsid w:val="00E86186"/>
    <w:rsid w:val="00E919B6"/>
    <w:rsid w:val="00E9491F"/>
    <w:rsid w:val="00EA0588"/>
    <w:rsid w:val="00EB0177"/>
    <w:rsid w:val="00EB0FEE"/>
    <w:rsid w:val="00EC20B7"/>
    <w:rsid w:val="00ED472E"/>
    <w:rsid w:val="00EF5FBE"/>
    <w:rsid w:val="00F049F5"/>
    <w:rsid w:val="00F1129A"/>
    <w:rsid w:val="00F37CD5"/>
    <w:rsid w:val="00F87D00"/>
    <w:rsid w:val="00FB02DB"/>
    <w:rsid w:val="00FE31BF"/>
    <w:rsid w:val="00FE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4DD"/>
  </w:style>
  <w:style w:type="paragraph" w:styleId="1">
    <w:name w:val="heading 1"/>
    <w:basedOn w:val="a0"/>
    <w:next w:val="a0"/>
    <w:link w:val="10"/>
    <w:uiPriority w:val="9"/>
    <w:qFormat/>
    <w:rsid w:val="002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1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10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10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10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10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10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10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22483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</w:rPr>
  </w:style>
  <w:style w:type="paragraph" w:styleId="a5">
    <w:name w:val="header"/>
    <w:basedOn w:val="a0"/>
    <w:link w:val="a6"/>
    <w:uiPriority w:val="99"/>
    <w:rsid w:val="00224837"/>
    <w:pPr>
      <w:spacing w:before="60" w:after="60" w:line="240" w:lineRule="auto"/>
      <w:ind w:left="3969"/>
      <w:jc w:val="right"/>
    </w:pPr>
    <w:rPr>
      <w:rFonts w:ascii="Arial" w:eastAsia="Times New Roman" w:hAnsi="Arial" w:cs="Times New Roman"/>
      <w:b/>
      <w:color w:val="808080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224837"/>
    <w:rPr>
      <w:rFonts w:ascii="Arial" w:eastAsia="Times New Roman" w:hAnsi="Arial" w:cs="Times New Roman"/>
      <w:b/>
      <w:color w:val="808080"/>
      <w:sz w:val="16"/>
      <w:szCs w:val="16"/>
    </w:rPr>
  </w:style>
  <w:style w:type="character" w:styleId="a7">
    <w:name w:val="page number"/>
    <w:basedOn w:val="a1"/>
    <w:uiPriority w:val="99"/>
    <w:rsid w:val="00224837"/>
    <w:rPr>
      <w:rFonts w:ascii="Arial" w:hAnsi="Arial" w:cs="Times New Roman"/>
    </w:rPr>
  </w:style>
  <w:style w:type="paragraph" w:customStyle="1" w:styleId="a8">
    <w:name w:val="Содержание"/>
    <w:basedOn w:val="a0"/>
    <w:next w:val="a0"/>
    <w:rsid w:val="00224837"/>
    <w:pPr>
      <w:tabs>
        <w:tab w:val="left" w:pos="0"/>
      </w:tabs>
      <w:spacing w:before="840" w:after="108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paragraph" w:styleId="a9">
    <w:name w:val="footer"/>
    <w:basedOn w:val="a0"/>
    <w:link w:val="aa"/>
    <w:uiPriority w:val="99"/>
    <w:rsid w:val="00224837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224837"/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22483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List"/>
    <w:basedOn w:val="a0"/>
    <w:uiPriority w:val="99"/>
    <w:rsid w:val="0022483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">
    <w:name w:val="Спис_заголовок"/>
    <w:basedOn w:val="a0"/>
    <w:next w:val="ab"/>
    <w:rsid w:val="0022483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1">
    <w:name w:val="Заголовок 4БН"/>
    <w:basedOn w:val="a0"/>
    <w:next w:val="a0"/>
    <w:autoRedefine/>
    <w:rsid w:val="00224837"/>
    <w:pPr>
      <w:keepNext/>
      <w:tabs>
        <w:tab w:val="left" w:pos="0"/>
      </w:tabs>
      <w:suppressAutoHyphens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c">
    <w:name w:val="Таблица"/>
    <w:basedOn w:val="a0"/>
    <w:rsid w:val="0022483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2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10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210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10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2104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caption"/>
    <w:basedOn w:val="a0"/>
    <w:next w:val="a0"/>
    <w:uiPriority w:val="35"/>
    <w:semiHidden/>
    <w:unhideWhenUsed/>
    <w:qFormat/>
    <w:rsid w:val="002104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0"/>
    <w:next w:val="a0"/>
    <w:link w:val="af"/>
    <w:uiPriority w:val="10"/>
    <w:qFormat/>
    <w:rsid w:val="00210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uiPriority w:val="10"/>
    <w:rsid w:val="00210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210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210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2104DD"/>
    <w:rPr>
      <w:b/>
      <w:bCs/>
    </w:rPr>
  </w:style>
  <w:style w:type="character" w:styleId="af3">
    <w:name w:val="Emphasis"/>
    <w:basedOn w:val="a1"/>
    <w:uiPriority w:val="20"/>
    <w:qFormat/>
    <w:rsid w:val="002104DD"/>
    <w:rPr>
      <w:i/>
      <w:iCs/>
    </w:rPr>
  </w:style>
  <w:style w:type="paragraph" w:styleId="af4">
    <w:name w:val="No Spacing"/>
    <w:uiPriority w:val="1"/>
    <w:qFormat/>
    <w:rsid w:val="002104DD"/>
    <w:pPr>
      <w:spacing w:after="0" w:line="240" w:lineRule="auto"/>
    </w:pPr>
  </w:style>
  <w:style w:type="paragraph" w:styleId="af5">
    <w:name w:val="List Paragraph"/>
    <w:basedOn w:val="a0"/>
    <w:uiPriority w:val="34"/>
    <w:qFormat/>
    <w:rsid w:val="002104D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104D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104DD"/>
    <w:rPr>
      <w:i/>
      <w:iCs/>
      <w:color w:val="000000" w:themeColor="text1"/>
    </w:rPr>
  </w:style>
  <w:style w:type="paragraph" w:styleId="af6">
    <w:name w:val="Intense Quote"/>
    <w:basedOn w:val="a0"/>
    <w:next w:val="a0"/>
    <w:link w:val="af7"/>
    <w:uiPriority w:val="30"/>
    <w:qFormat/>
    <w:rsid w:val="00210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1"/>
    <w:link w:val="af6"/>
    <w:uiPriority w:val="30"/>
    <w:rsid w:val="002104DD"/>
    <w:rPr>
      <w:b/>
      <w:bCs/>
      <w:i/>
      <w:iCs/>
      <w:color w:val="4F81BD" w:themeColor="accent1"/>
    </w:rPr>
  </w:style>
  <w:style w:type="character" w:styleId="af8">
    <w:name w:val="Subtle Emphasis"/>
    <w:basedOn w:val="a1"/>
    <w:uiPriority w:val="19"/>
    <w:qFormat/>
    <w:rsid w:val="002104DD"/>
    <w:rPr>
      <w:i/>
      <w:iCs/>
      <w:color w:val="808080" w:themeColor="text1" w:themeTint="7F"/>
    </w:rPr>
  </w:style>
  <w:style w:type="character" w:styleId="af9">
    <w:name w:val="Intense Emphasis"/>
    <w:basedOn w:val="a1"/>
    <w:uiPriority w:val="21"/>
    <w:qFormat/>
    <w:rsid w:val="002104DD"/>
    <w:rPr>
      <w:b/>
      <w:bCs/>
      <w:i/>
      <w:iCs/>
      <w:color w:val="4F81BD" w:themeColor="accent1"/>
    </w:rPr>
  </w:style>
  <w:style w:type="character" w:styleId="afa">
    <w:name w:val="Subtle Reference"/>
    <w:basedOn w:val="a1"/>
    <w:uiPriority w:val="31"/>
    <w:qFormat/>
    <w:rsid w:val="002104DD"/>
    <w:rPr>
      <w:smallCaps/>
      <w:color w:val="C0504D" w:themeColor="accent2"/>
      <w:u w:val="single"/>
    </w:rPr>
  </w:style>
  <w:style w:type="character" w:styleId="afb">
    <w:name w:val="Intense Reference"/>
    <w:basedOn w:val="a1"/>
    <w:uiPriority w:val="32"/>
    <w:qFormat/>
    <w:rsid w:val="002104D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1"/>
    <w:uiPriority w:val="33"/>
    <w:qFormat/>
    <w:rsid w:val="002104DD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2104DD"/>
    <w:pPr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2D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2D2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199893384271972E-2"/>
          <c:y val="0.13727372476230526"/>
          <c:w val="0.90658019765466458"/>
          <c:h val="0.48777081262900501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Рейтинговая оценка  (R)</c:v>
                </c:pt>
              </c:strCache>
            </c:strRef>
          </c:tx>
          <c:dLbls>
            <c:dLbl>
              <c:idx val="0"/>
              <c:layout>
                <c:manualLayout>
                  <c:x val="-3.8216560509554236E-2"/>
                  <c:y val="-4.8993875765529306E-2"/>
                </c:manualLayout>
              </c:layout>
              <c:showVal val="1"/>
            </c:dLbl>
            <c:dLbl>
              <c:idx val="1"/>
              <c:layout>
                <c:manualLayout>
                  <c:x val="-4.033970276008475E-2"/>
                  <c:y val="-4.8993875765529306E-2"/>
                </c:manualLayout>
              </c:layout>
              <c:showVal val="1"/>
            </c:dLbl>
            <c:dLbl>
              <c:idx val="2"/>
              <c:layout>
                <c:manualLayout>
                  <c:x val="-4.033970276008475E-2"/>
                  <c:y val="-5.2493438320210327E-2"/>
                </c:manualLayout>
              </c:layout>
              <c:showVal val="1"/>
            </c:dLbl>
            <c:dLbl>
              <c:idx val="3"/>
              <c:layout>
                <c:manualLayout>
                  <c:x val="-4.4585987261146667E-2"/>
                  <c:y val="-4.549431321084893E-2"/>
                </c:manualLayout>
              </c:layout>
              <c:showVal val="1"/>
            </c:dLbl>
            <c:dLbl>
              <c:idx val="4"/>
              <c:layout>
                <c:manualLayout>
                  <c:x val="-3.2574806851541391E-2"/>
                  <c:y val="3.3081500171594704E-2"/>
                </c:manualLayout>
              </c:layout>
              <c:showVal val="1"/>
            </c:dLbl>
            <c:dLbl>
              <c:idx val="5"/>
              <c:layout>
                <c:manualLayout>
                  <c:x val="-4.0824791118317702E-2"/>
                  <c:y val="2.8537869230434589E-2"/>
                </c:manualLayout>
              </c:layout>
              <c:showVal val="1"/>
            </c:dLbl>
            <c:dLbl>
              <c:idx val="6"/>
              <c:layout>
                <c:manualLayout>
                  <c:x val="-4.434340629847236E-2"/>
                  <c:y val="3.2485801153309041E-2"/>
                </c:manualLayout>
              </c:layout>
              <c:showVal val="1"/>
            </c:dLbl>
            <c:showVal val="1"/>
          </c:dLbls>
          <c:cat>
            <c:strRef>
              <c:f>Лист1!$A$2:$A$8</c:f>
              <c:strCache>
                <c:ptCount val="7"/>
                <c:pt idx="0">
                  <c:v>Департамент труда и социального развития (ДТиСР)</c:v>
                </c:pt>
                <c:pt idx="1">
                  <c:v>Департамент образования АТМР (ДО)</c:v>
                </c:pt>
                <c:pt idx="2">
                  <c:v>Департамент финансов АТМР (ДФ)</c:v>
                </c:pt>
                <c:pt idx="3">
                  <c:v>Департамент культуры, туризма  и молодежной политики АТМР (ДКиМП)</c:v>
                </c:pt>
                <c:pt idx="4">
                  <c:v>Администрация ТМР (АТМР)</c:v>
                </c:pt>
                <c:pt idx="5">
                  <c:v>Департамент муниципального имущества АТМР (ДМИ)</c:v>
                </c:pt>
                <c:pt idx="6">
                  <c:v>Департамент ЖКХ и транспорта  АТМР (ДЖКХ)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515.70000000000005</c:v>
                </c:pt>
                <c:pt idx="1">
                  <c:v>503.3</c:v>
                </c:pt>
                <c:pt idx="2">
                  <c:v>461.5</c:v>
                </c:pt>
                <c:pt idx="3">
                  <c:v>436.5</c:v>
                </c:pt>
                <c:pt idx="4">
                  <c:v>348.3</c:v>
                </c:pt>
                <c:pt idx="5">
                  <c:v>339.9</c:v>
                </c:pt>
                <c:pt idx="6" formatCode="0.0">
                  <c:v>330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среднего уровня качества финансового менеджмента ГРБС</c:v>
                </c:pt>
              </c:strCache>
            </c:strRef>
          </c:tx>
          <c:marker>
            <c:spPr>
              <a:ln>
                <a:solidFill>
                  <a:schemeClr val="accent1"/>
                </a:solidFill>
              </a:ln>
            </c:spPr>
          </c:marker>
          <c:cat>
            <c:strRef>
              <c:f>Лист1!$A$2:$A$8</c:f>
              <c:strCache>
                <c:ptCount val="7"/>
                <c:pt idx="0">
                  <c:v>Департамент труда и социального развития (ДТиСР)</c:v>
                </c:pt>
                <c:pt idx="1">
                  <c:v>Департамент образования АТМР (ДО)</c:v>
                </c:pt>
                <c:pt idx="2">
                  <c:v>Департамент финансов АТМР (ДФ)</c:v>
                </c:pt>
                <c:pt idx="3">
                  <c:v>Департамент культуры, туризма  и молодежной политики АТМР (ДКиМП)</c:v>
                </c:pt>
                <c:pt idx="4">
                  <c:v>Администрация ТМР (АТМР)</c:v>
                </c:pt>
                <c:pt idx="5">
                  <c:v>Департамент муниципального имущества АТМР (ДМИ)</c:v>
                </c:pt>
                <c:pt idx="6">
                  <c:v>Департамент ЖКХ и транспорта  АТМР (ДЖКХ)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419.3</c:v>
                </c:pt>
                <c:pt idx="1">
                  <c:v>419.3</c:v>
                </c:pt>
                <c:pt idx="2">
                  <c:v>419.3</c:v>
                </c:pt>
                <c:pt idx="3">
                  <c:v>419.3</c:v>
                </c:pt>
                <c:pt idx="4">
                  <c:v>419.3</c:v>
                </c:pt>
                <c:pt idx="5">
                  <c:v>419.3</c:v>
                </c:pt>
                <c:pt idx="6">
                  <c:v>419.3</c:v>
                </c:pt>
              </c:numCache>
            </c:numRef>
          </c:val>
        </c:ser>
        <c:marker val="1"/>
        <c:axId val="132088192"/>
        <c:axId val="132090496"/>
      </c:lineChart>
      <c:catAx>
        <c:axId val="132088192"/>
        <c:scaling>
          <c:orientation val="minMax"/>
        </c:scaling>
        <c:axPos val="b"/>
        <c:numFmt formatCode="#,##0.00" sourceLinked="0"/>
        <c:majorTickMark val="none"/>
        <c:tickLblPos val="nextTo"/>
        <c:spPr>
          <a:ln cmpd="sng"/>
        </c:spPr>
        <c:txPr>
          <a:bodyPr/>
          <a:lstStyle/>
          <a:p>
            <a:pPr>
              <a:defRPr sz="1200" b="0" i="0" baseline="-25000"/>
            </a:pPr>
            <a:endParaRPr lang="ru-RU"/>
          </a:p>
        </c:txPr>
        <c:crossAx val="132090496"/>
        <c:crosses val="autoZero"/>
        <c:auto val="1"/>
        <c:lblAlgn val="ctr"/>
        <c:lblOffset val="100"/>
      </c:catAx>
      <c:valAx>
        <c:axId val="132090496"/>
        <c:scaling>
          <c:orientation val="minMax"/>
        </c:scaling>
        <c:axPos val="l"/>
        <c:majorGridlines>
          <c:spPr>
            <a:ln w="3175">
              <a:solidFill>
                <a:schemeClr val="accent1"/>
              </a:solidFill>
            </a:ln>
          </c:spPr>
        </c:majorGridlines>
        <c:numFmt formatCode="General" sourceLinked="1"/>
        <c:majorTickMark val="none"/>
        <c:tickLblPos val="nextTo"/>
        <c:spPr>
          <a:ln w="9525">
            <a:noFill/>
          </a:ln>
        </c:spPr>
        <c:crossAx val="13208819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1200" baseline="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9AF0-4676-4236-841A-CA4D52D9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Новикова</cp:lastModifiedBy>
  <cp:revision>14</cp:revision>
  <cp:lastPrinted>2018-05-07T07:48:00Z</cp:lastPrinted>
  <dcterms:created xsi:type="dcterms:W3CDTF">2018-04-28T07:59:00Z</dcterms:created>
  <dcterms:modified xsi:type="dcterms:W3CDTF">2018-05-11T05:28:00Z</dcterms:modified>
</cp:coreProperties>
</file>