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Тутаевского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2014 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2015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43424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843424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 за 2014 год</w:t>
            </w: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E42571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997451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567" w:footer="567" w:gutter="0"/>
          <w:pgNumType w:start="2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Вводная часть</w:t>
      </w:r>
      <w:bookmarkEnd w:id="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Тутаевского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Оценка качества финансового менеджмента производится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«Бюджет»,сервиса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 Средняя оценка качества финансового менеджмента по всем ГРБС равна 393,3 балла.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 5  ГРБС против  2 в 201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году:</w:t>
      </w:r>
    </w:p>
    <w:p w:rsidR="00224837" w:rsidRPr="005553C5" w:rsidRDefault="00224837" w:rsidP="0055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образования АТМР</w:t>
      </w:r>
    </w:p>
    <w:p w:rsidR="00224837" w:rsidRPr="005553C5" w:rsidRDefault="005553C5" w:rsidP="0055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департамент труда и социального развития АТМР</w:t>
      </w:r>
    </w:p>
    <w:p w:rsidR="00224837" w:rsidRPr="005553C5" w:rsidRDefault="00224837" w:rsidP="0055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финансов АТМР</w:t>
      </w:r>
    </w:p>
    <w:p w:rsidR="00224837" w:rsidRPr="005553C5" w:rsidRDefault="00224837" w:rsidP="0055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224837" w:rsidRPr="005553C5" w:rsidRDefault="005553C5" w:rsidP="0055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департамент ЖКХ и строительства АТМР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Pr="005553C5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>
        <w:rPr>
          <w:rFonts w:ascii="Times New Roman" w:hAnsi="Times New Roman" w:cs="Times New Roman"/>
          <w:sz w:val="28"/>
          <w:szCs w:val="28"/>
          <w:lang w:val="ru-RU"/>
        </w:rPr>
        <w:t>2 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Администрация Тутаевского муниципального района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4E73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департамент муниципального имущества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оценки :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37" w:rsidRPr="005553C5" w:rsidRDefault="00843424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В связи с несопоставимостью данных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МУ «КСП» не оценивалось.</w:t>
      </w:r>
    </w:p>
    <w:p w:rsidR="00B67177" w:rsidRPr="005553C5" w:rsidRDefault="00B6717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Pr="005553C5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52"/>
        <w:gridCol w:w="2102"/>
        <w:gridCol w:w="1011"/>
        <w:gridCol w:w="2691"/>
        <w:gridCol w:w="3212"/>
      </w:tblGrid>
      <w:tr w:rsidR="004E7337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10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534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 ГРБС (баллы)</w:t>
            </w:r>
          </w:p>
        </w:tc>
        <w:tc>
          <w:tcPr>
            <w:tcW w:w="1421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96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4E7337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pct"/>
            <w:vMerge w:val="restar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образования АТМР</w:t>
            </w:r>
          </w:p>
        </w:tc>
        <w:tc>
          <w:tcPr>
            <w:tcW w:w="534" w:type="pct"/>
            <w:vMerge w:val="restart"/>
          </w:tcPr>
          <w:p w:rsidR="004E7337" w:rsidRPr="00997451" w:rsidRDefault="00B67DBF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555,8</w:t>
            </w:r>
          </w:p>
        </w:tc>
        <w:tc>
          <w:tcPr>
            <w:tcW w:w="1421" w:type="pct"/>
          </w:tcPr>
          <w:p w:rsidR="004E7337" w:rsidRPr="000A79B3" w:rsidRDefault="004E7337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4E7337" w:rsidRPr="000A79B3" w:rsidRDefault="004E7337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4E7337" w:rsidRPr="000A79B3" w:rsidRDefault="004E7337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E7337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E7337" w:rsidRPr="00997451" w:rsidRDefault="007557D2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B67DBF"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ффективность управления просроченной кредиторской задолженностью (0 из 500)</w:t>
            </w:r>
          </w:p>
        </w:tc>
        <w:tc>
          <w:tcPr>
            <w:tcW w:w="1696" w:type="pct"/>
          </w:tcPr>
          <w:p w:rsidR="004E7337" w:rsidRPr="00997451" w:rsidRDefault="007557D2" w:rsidP="00755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ревизию расчетов и не допускать роста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торской задолженности</w:t>
            </w:r>
          </w:p>
        </w:tc>
      </w:tr>
      <w:tr w:rsidR="004E7337" w:rsidRPr="00997451" w:rsidTr="00A07E8A">
        <w:trPr>
          <w:cantSplit/>
          <w:trHeight w:val="1877"/>
          <w:tblHeader/>
        </w:trPr>
        <w:tc>
          <w:tcPr>
            <w:tcW w:w="239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работы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B67DBF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B67DBF" w:rsidRPr="00997451" w:rsidRDefault="00B67DBF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pct"/>
          </w:tcPr>
          <w:p w:rsidR="00B67DBF" w:rsidRPr="00997451" w:rsidRDefault="00B67DBF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труда и социального развития АТМР</w:t>
            </w:r>
          </w:p>
          <w:p w:rsidR="00B67DBF" w:rsidRPr="00997451" w:rsidRDefault="00B67DBF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B67DBF" w:rsidRPr="00997451" w:rsidRDefault="00B67DBF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549,6</w:t>
            </w:r>
          </w:p>
        </w:tc>
        <w:tc>
          <w:tcPr>
            <w:tcW w:w="1421" w:type="pct"/>
          </w:tcPr>
          <w:p w:rsidR="00B67DBF" w:rsidRPr="000A79B3" w:rsidRDefault="00B67DBF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67DBF" w:rsidRPr="000A79B3" w:rsidRDefault="00B67DBF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67DBF" w:rsidRPr="000A79B3" w:rsidRDefault="00B67DBF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52A5C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C52A5C" w:rsidRPr="00997451" w:rsidRDefault="00C52A5C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</w:tcPr>
          <w:p w:rsidR="00C52A5C" w:rsidRPr="00997451" w:rsidRDefault="00C52A5C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C52A5C" w:rsidRPr="00997451" w:rsidRDefault="00C52A5C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C52A5C" w:rsidRPr="00997451" w:rsidRDefault="00C52A5C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бюджетных ассигнований на оказание услуг (выполнение работ) муниципальными учреждениями в соответствии с      муниципальными  заданиями (100 из 500)</w:t>
            </w:r>
          </w:p>
        </w:tc>
        <w:tc>
          <w:tcPr>
            <w:tcW w:w="1696" w:type="pct"/>
          </w:tcPr>
          <w:p w:rsidR="00C52A5C" w:rsidRPr="00997451" w:rsidRDefault="00C52A5C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оценку потребности в услугах и по возможности расширить перечень услуг</w:t>
            </w:r>
          </w:p>
        </w:tc>
      </w:tr>
      <w:tr w:rsidR="00A07E8A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A07E8A" w:rsidRPr="00997451" w:rsidRDefault="00A07E8A" w:rsidP="00A504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  МУ  (300 из 500)</w:t>
            </w:r>
          </w:p>
        </w:tc>
        <w:tc>
          <w:tcPr>
            <w:tcW w:w="1696" w:type="pct"/>
          </w:tcPr>
          <w:p w:rsidR="00A07E8A" w:rsidRPr="00997451" w:rsidRDefault="00A07E8A" w:rsidP="00A504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оценку потребности в услугах и по возможности расширить перечень услуг</w:t>
            </w:r>
          </w:p>
        </w:tc>
      </w:tr>
      <w:tr w:rsidR="00A07E8A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изкий прирост объема  доходов МУ (200 из 500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6" w:type="pct"/>
          </w:tcPr>
          <w:p w:rsidR="00A07E8A" w:rsidRPr="00997451" w:rsidRDefault="002015B6" w:rsidP="00A07E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9C">
              <w:rPr>
                <w:rFonts w:ascii="Times New Roman" w:eastAsia="Times New Roman" w:hAnsi="Times New Roman" w:cs="Times New Roman"/>
              </w:rPr>
              <w:t>совместно с руководителями подведомственных учреждений  провести работу по повышению эффективности деятельности БУ, в том числе  по развитию предпринимательской и иной приносящей доход деятельности</w:t>
            </w:r>
          </w:p>
        </w:tc>
      </w:tr>
      <w:tr w:rsidR="00A07E8A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pct"/>
            <w:vMerge w:val="restar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финансов АТМР</w:t>
            </w:r>
          </w:p>
        </w:tc>
        <w:tc>
          <w:tcPr>
            <w:tcW w:w="534" w:type="pct"/>
            <w:vMerge w:val="restar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465,5</w:t>
            </w:r>
          </w:p>
        </w:tc>
        <w:tc>
          <w:tcPr>
            <w:tcW w:w="1421" w:type="pct"/>
          </w:tcPr>
          <w:p w:rsidR="00A07E8A" w:rsidRPr="000A79B3" w:rsidRDefault="00A07E8A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A07E8A" w:rsidRPr="000A79B3" w:rsidRDefault="00A07E8A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A07E8A" w:rsidRPr="000A79B3" w:rsidRDefault="00A07E8A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07E8A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A07E8A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дебиторской задолженности в сторону увеличения (400 из 500)</w:t>
            </w:r>
          </w:p>
        </w:tc>
        <w:tc>
          <w:tcPr>
            <w:tcW w:w="1696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A07E8A" w:rsidRPr="00997451" w:rsidTr="00A07E8A">
        <w:trPr>
          <w:cantSplit/>
          <w:trHeight w:val="1060"/>
          <w:tblHeader/>
        </w:trPr>
        <w:tc>
          <w:tcPr>
            <w:tcW w:w="239" w:type="pct"/>
            <w:vMerge w:val="restart"/>
          </w:tcPr>
          <w:p w:rsidR="00A07E8A" w:rsidRPr="00E14334" w:rsidRDefault="00A07E8A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3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pct"/>
            <w:vMerge w:val="restart"/>
          </w:tcPr>
          <w:p w:rsidR="00A07E8A" w:rsidRPr="00E14334" w:rsidRDefault="00A07E8A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3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534" w:type="pct"/>
            <w:vMerge w:val="restart"/>
          </w:tcPr>
          <w:p w:rsidR="00A07E8A" w:rsidRPr="00E14334" w:rsidRDefault="00A07E8A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3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462,6</w:t>
            </w:r>
          </w:p>
        </w:tc>
        <w:tc>
          <w:tcPr>
            <w:tcW w:w="1421" w:type="pct"/>
          </w:tcPr>
          <w:p w:rsidR="00A07E8A" w:rsidRPr="000A79B3" w:rsidRDefault="00A07E8A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A07E8A" w:rsidRPr="000A79B3" w:rsidRDefault="00A07E8A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A07E8A" w:rsidRPr="000A79B3" w:rsidRDefault="00A07E8A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07E8A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  МУ  (0 из 500)</w:t>
            </w:r>
          </w:p>
        </w:tc>
        <w:tc>
          <w:tcPr>
            <w:tcW w:w="1696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оценку потребности в услугах и по возможности расширить перечень услуг</w:t>
            </w:r>
          </w:p>
        </w:tc>
      </w:tr>
      <w:tr w:rsidR="00A07E8A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A07E8A" w:rsidRPr="00997451" w:rsidRDefault="00A07E8A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динамика финансовых нарушений, выявленных в ходе внешних контрольных мероприятий</w:t>
            </w:r>
          </w:p>
        </w:tc>
        <w:tc>
          <w:tcPr>
            <w:tcW w:w="1696" w:type="pct"/>
          </w:tcPr>
          <w:p w:rsidR="002015B6" w:rsidRPr="00FB6B9C" w:rsidRDefault="002015B6" w:rsidP="00A50444">
            <w:pPr>
              <w:pStyle w:val="ac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усилить работу по недопущению нарушений в работе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2015B6" w:rsidRPr="00997451" w:rsidRDefault="002015B6" w:rsidP="00E14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жилищно-коммунального хозяйства и строительства АТМР</w:t>
            </w:r>
          </w:p>
        </w:tc>
        <w:tc>
          <w:tcPr>
            <w:tcW w:w="534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443,4</w:t>
            </w:r>
          </w:p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риостановление операций по расходованию средств на лицевых счетах, в связи с нарушением процедур судебных актов (0 из 500)</w:t>
            </w:r>
          </w:p>
        </w:tc>
        <w:tc>
          <w:tcPr>
            <w:tcW w:w="1696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усилить контроль за  исполнением судебных решений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(100 из 500)</w:t>
            </w:r>
          </w:p>
        </w:tc>
        <w:tc>
          <w:tcPr>
            <w:tcW w:w="1696" w:type="pct"/>
          </w:tcPr>
          <w:p w:rsidR="002015B6" w:rsidRPr="00997451" w:rsidRDefault="002015B6" w:rsidP="00E14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10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ТМР</w:t>
            </w:r>
          </w:p>
        </w:tc>
        <w:tc>
          <w:tcPr>
            <w:tcW w:w="534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399,1</w:t>
            </w:r>
          </w:p>
        </w:tc>
        <w:tc>
          <w:tcPr>
            <w:tcW w:w="1421" w:type="pct"/>
          </w:tcPr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работы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2015B6" w:rsidRPr="00997451" w:rsidRDefault="002015B6" w:rsidP="00E14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подкрепленность плановых расходных обязательств бюджетными расходами (200 из 500)</w:t>
            </w:r>
          </w:p>
        </w:tc>
        <w:tc>
          <w:tcPr>
            <w:tcW w:w="1696" w:type="pct"/>
          </w:tcPr>
          <w:p w:rsidR="002015B6" w:rsidRPr="00997451" w:rsidRDefault="007C7E3D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усилить работу при планировании потребности на плановый период</w:t>
            </w: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10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534" w:type="pct"/>
            <w:vMerge w:val="restart"/>
          </w:tcPr>
          <w:p w:rsidR="002015B6" w:rsidRPr="001F2F28" w:rsidRDefault="002015B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377,7</w:t>
            </w:r>
          </w:p>
        </w:tc>
        <w:tc>
          <w:tcPr>
            <w:tcW w:w="1421" w:type="pct"/>
          </w:tcPr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2015B6" w:rsidRPr="000A79B3" w:rsidRDefault="002015B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015B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2015B6" w:rsidRPr="00997451" w:rsidRDefault="002015B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2015B6" w:rsidRPr="00997451" w:rsidRDefault="002015B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2015B6" w:rsidRPr="00997451" w:rsidRDefault="002015B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2015B6" w:rsidRPr="00997451" w:rsidRDefault="002015B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2015B6" w:rsidRPr="00997451" w:rsidRDefault="002015B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</w:tbl>
    <w:p w:rsidR="004E7337" w:rsidRPr="00997451" w:rsidRDefault="004E7337" w:rsidP="008434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7E3D" w:rsidRDefault="007C7E3D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1. </w:t>
      </w:r>
    </w:p>
    <w:p w:rsidR="004E7337" w:rsidRPr="000A79B3" w:rsidRDefault="004E7337" w:rsidP="006E52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9B3">
        <w:rPr>
          <w:rFonts w:ascii="Times New Roman" w:hAnsi="Times New Roman" w:cs="Times New Roman"/>
          <w:b/>
          <w:sz w:val="28"/>
          <w:szCs w:val="28"/>
          <w:lang w:val="ru-RU"/>
        </w:rPr>
        <w:t>Сокращенные наименования ГРБС</w:t>
      </w: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5553C5" w:rsidTr="00B67DBF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ГРБС</w:t>
            </w:r>
          </w:p>
        </w:tc>
        <w:tc>
          <w:tcPr>
            <w:tcW w:w="1670" w:type="dxa"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ГРБС</w:t>
            </w:r>
          </w:p>
        </w:tc>
      </w:tr>
      <w:tr w:rsidR="004E7337" w:rsidRPr="005553C5" w:rsidTr="00B67DBF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Тутаевского муниципального района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АТМР</w:t>
            </w:r>
          </w:p>
        </w:tc>
      </w:tr>
      <w:tr w:rsidR="004E7337" w:rsidRPr="005553C5" w:rsidTr="00B67DBF">
        <w:trPr>
          <w:trHeight w:val="77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</w:t>
            </w:r>
          </w:p>
        </w:tc>
      </w:tr>
      <w:tr w:rsidR="004E7337" w:rsidRPr="005553C5" w:rsidTr="00B67DBF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</w:tr>
      <w:tr w:rsidR="004E7337" w:rsidRPr="005553C5" w:rsidTr="00B67DBF">
        <w:trPr>
          <w:trHeight w:val="72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ДТиСР</w:t>
            </w:r>
          </w:p>
        </w:tc>
      </w:tr>
      <w:tr w:rsidR="004E7337" w:rsidRPr="005553C5" w:rsidTr="00B67DBF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финансов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ДФ</w:t>
            </w:r>
          </w:p>
        </w:tc>
      </w:tr>
      <w:tr w:rsidR="004E7337" w:rsidRPr="005553C5" w:rsidTr="00B67DBF">
        <w:trPr>
          <w:trHeight w:val="771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ДКиМП</w:t>
            </w:r>
          </w:p>
        </w:tc>
      </w:tr>
      <w:tr w:rsidR="004E7337" w:rsidRPr="005553C5" w:rsidTr="00B67DBF">
        <w:trPr>
          <w:trHeight w:val="81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жилищно-коммунального хозяйства и строительства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ДЖКХ</w:t>
            </w:r>
          </w:p>
        </w:tc>
      </w:tr>
    </w:tbl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79B3" w:rsidRDefault="000A79B3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B1732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2.</w:t>
      </w:r>
    </w:p>
    <w:tbl>
      <w:tblPr>
        <w:tblW w:w="9449" w:type="dxa"/>
        <w:tblInd w:w="93" w:type="dxa"/>
        <w:tblLook w:val="04A0"/>
      </w:tblPr>
      <w:tblGrid>
        <w:gridCol w:w="620"/>
        <w:gridCol w:w="3081"/>
        <w:gridCol w:w="1495"/>
        <w:gridCol w:w="2127"/>
        <w:gridCol w:w="2126"/>
      </w:tblGrid>
      <w:tr w:rsidR="00B1732F" w:rsidRPr="005553C5" w:rsidTr="00A629C0">
        <w:trPr>
          <w:trHeight w:val="945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2F" w:rsidRPr="005553C5" w:rsidRDefault="00B1732F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СВОДНЫЙ РЕЙТИНГ ГЛАВНЫХ РАСПОРЯДИТЕЛЕЙ БЮДЖЕТНЫХ СРЕДСТВ ПО КАЧЕСТВУ ФИНАНСОВОГО МЕНЕДЖМЕНТА ЗА 2014 ГОД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32F" w:rsidRPr="005553C5" w:rsidTr="00A629C0">
        <w:trPr>
          <w:trHeight w:val="21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Рейтинговая оценка  (R)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Интегральная оценка качества финансового менеджмента (КФМ)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оценка качества финансового менеджмента (MAX)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732F" w:rsidRPr="005553C5" w:rsidTr="00A629C0">
        <w:trPr>
          <w:trHeight w:val="315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высокие рейтинговые оценки (R ≥ 400)</w:t>
            </w:r>
          </w:p>
        </w:tc>
      </w:tr>
      <w:tr w:rsidR="00B1732F" w:rsidRPr="005553C5" w:rsidTr="00A629C0">
        <w:trPr>
          <w:trHeight w:val="6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образования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B1732F" w:rsidRPr="005553C5" w:rsidTr="00A629C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труда и социального развития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B1732F" w:rsidRPr="005553C5" w:rsidTr="00A629C0">
        <w:trPr>
          <w:trHeight w:val="7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финансов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B1732F" w:rsidRPr="005553C5" w:rsidTr="00A629C0">
        <w:trPr>
          <w:trHeight w:val="10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культуры и молодежной политики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ЖКХ АТМР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B1732F" w:rsidRPr="005553C5" w:rsidTr="00A629C0">
        <w:trPr>
          <w:trHeight w:val="315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удовлетворительные  рейтинговые оценки (400 &gt;R ≥ 300)</w:t>
            </w:r>
          </w:p>
        </w:tc>
      </w:tr>
      <w:tr w:rsidR="00B1732F" w:rsidRPr="005553C5" w:rsidTr="00A629C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B1732F" w:rsidRPr="005553C5" w:rsidTr="00A629C0">
        <w:trPr>
          <w:trHeight w:val="12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B1732F" w:rsidRPr="005553C5" w:rsidTr="00A629C0">
        <w:trPr>
          <w:trHeight w:val="300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неудовлетворительные  рейтинговые оценки (300 &gt;R)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B1732F" w:rsidRPr="005553C5" w:rsidTr="00A629C0">
        <w:trPr>
          <w:trHeight w:val="615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среднего уровня качества финансового менеджмента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9312AA" w:rsidRPr="005553C5" w:rsidRDefault="009312AA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9312AA" w:rsidRPr="005553C5" w:rsidSect="009974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9C0" w:rsidRPr="005553C5" w:rsidRDefault="001E3EB7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62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29C0" w:rsidRPr="005553C5" w:rsidRDefault="00A629C0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1E3EB7" w:rsidRPr="005553C5" w:rsidSect="009312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53C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-1223010</wp:posOffset>
            </wp:positionV>
            <wp:extent cx="6753225" cy="5172075"/>
            <wp:effectExtent l="0" t="0" r="9525" b="9525"/>
            <wp:wrapThrough wrapText="bothSides">
              <wp:wrapPolygon edited="0">
                <wp:start x="0" y="0"/>
                <wp:lineTo x="0" y="21560"/>
                <wp:lineTo x="21570" y="21560"/>
                <wp:lineTo x="21570" y="0"/>
                <wp:lineTo x="0" y="0"/>
              </wp:wrapPolygon>
            </wp:wrapThrough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W w:w="14616" w:type="dxa"/>
        <w:tblInd w:w="93" w:type="dxa"/>
        <w:tblLayout w:type="fixed"/>
        <w:tblLook w:val="04A0"/>
      </w:tblPr>
      <w:tblGrid>
        <w:gridCol w:w="1387"/>
        <w:gridCol w:w="3393"/>
        <w:gridCol w:w="832"/>
        <w:gridCol w:w="10"/>
        <w:gridCol w:w="10"/>
        <w:gridCol w:w="20"/>
        <w:gridCol w:w="25"/>
        <w:gridCol w:w="8"/>
        <w:gridCol w:w="526"/>
        <w:gridCol w:w="677"/>
        <w:gridCol w:w="10"/>
        <w:gridCol w:w="10"/>
        <w:gridCol w:w="20"/>
        <w:gridCol w:w="19"/>
        <w:gridCol w:w="6"/>
        <w:gridCol w:w="8"/>
        <w:gridCol w:w="685"/>
        <w:gridCol w:w="502"/>
        <w:gridCol w:w="16"/>
        <w:gridCol w:w="10"/>
        <w:gridCol w:w="30"/>
        <w:gridCol w:w="19"/>
        <w:gridCol w:w="10"/>
        <w:gridCol w:w="1191"/>
        <w:gridCol w:w="16"/>
        <w:gridCol w:w="40"/>
        <w:gridCol w:w="19"/>
        <w:gridCol w:w="12"/>
        <w:gridCol w:w="590"/>
        <w:gridCol w:w="742"/>
        <w:gridCol w:w="64"/>
        <w:gridCol w:w="9"/>
        <w:gridCol w:w="12"/>
        <w:gridCol w:w="612"/>
        <w:gridCol w:w="636"/>
        <w:gridCol w:w="24"/>
        <w:gridCol w:w="6"/>
        <w:gridCol w:w="1018"/>
        <w:gridCol w:w="230"/>
        <w:gridCol w:w="26"/>
        <w:gridCol w:w="1121"/>
        <w:gridCol w:w="15"/>
      </w:tblGrid>
      <w:tr w:rsidR="003C0DE2" w:rsidRPr="005553C5" w:rsidTr="009B6462">
        <w:trPr>
          <w:gridAfter w:val="1"/>
          <w:wAfter w:w="15" w:type="dxa"/>
          <w:trHeight w:val="330"/>
        </w:trPr>
        <w:tc>
          <w:tcPr>
            <w:tcW w:w="1460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4.</w:t>
            </w:r>
          </w:p>
          <w:p w:rsidR="003C0DE2" w:rsidRPr="005553C5" w:rsidRDefault="003C0DE2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ПЕРЕЧЕНЬ ПОКАЗАТЕЛЕЙ КАЧЕСТВА ФИНАНСОВОГО МЕНЕДЖМЕНТА ГРБС  за 2014 год</w:t>
            </w:r>
          </w:p>
        </w:tc>
      </w:tr>
      <w:tr w:rsidR="009B6462" w:rsidRPr="005553C5" w:rsidTr="009B6462">
        <w:trPr>
          <w:gridAfter w:val="1"/>
          <w:wAfter w:w="15" w:type="dxa"/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570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88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88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направлений оценки, показателей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АТМР</w:t>
            </w: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ДФ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ДЖКХ</w:t>
            </w:r>
          </w:p>
        </w:tc>
      </w:tr>
      <w:tr w:rsidR="009B6462" w:rsidRPr="005553C5" w:rsidTr="009B6462">
        <w:trPr>
          <w:gridAfter w:val="1"/>
          <w:wAfter w:w="15" w:type="dxa"/>
          <w:trHeight w:val="570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330"/>
        </w:trPr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3214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A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Формирование бюджета</w:t>
            </w:r>
          </w:p>
        </w:tc>
      </w:tr>
      <w:tr w:rsidR="009B6462" w:rsidRPr="005553C5" w:rsidTr="009B6462">
        <w:trPr>
          <w:gridAfter w:val="1"/>
          <w:wAfter w:w="15" w:type="dxa"/>
          <w:trHeight w:val="31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721D2F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Качество правовой базы ГРБС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114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1.2.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721D2F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представления фрагмента   реестра расходных     обязательств ГРБС</w:t>
            </w:r>
            <w:r w:rsid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(далее − РРО)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63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1.3.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721D2F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Качество представленных фрагментов реестров     расходных     обязательств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</w:tr>
      <w:tr w:rsidR="009B6462" w:rsidRPr="005553C5" w:rsidTr="009B6462">
        <w:trPr>
          <w:gridAfter w:val="1"/>
          <w:wAfter w:w="15" w:type="dxa"/>
          <w:trHeight w:val="1773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1.4.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721D2F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  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6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721D2F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Подкреплённость плановых расходных обязательств бюджетными расходами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C0DE2" w:rsidRPr="005553C5" w:rsidRDefault="003C0DE2" w:rsidP="00721D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B6462" w:rsidRPr="005553C5" w:rsidTr="009B6462">
        <w:trPr>
          <w:gridAfter w:val="1"/>
          <w:wAfter w:w="15" w:type="dxa"/>
          <w:trHeight w:val="126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1.6.          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721D2F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B6462" w:rsidRPr="005553C5" w:rsidTr="009B6462">
        <w:trPr>
          <w:gridAfter w:val="1"/>
          <w:wAfter w:w="15" w:type="dxa"/>
          <w:trHeight w:val="2098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1.7.           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</w:r>
          </w:p>
          <w:p w:rsidR="0088322D" w:rsidRPr="00721D2F" w:rsidRDefault="0088322D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B6462" w:rsidRPr="005553C5" w:rsidTr="009B6462">
        <w:trPr>
          <w:gridAfter w:val="1"/>
          <w:wAfter w:w="15" w:type="dxa"/>
          <w:trHeight w:val="222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1.8.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Default="003C0DE2" w:rsidP="00721D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</w:t>
            </w:r>
            <w:r w:rsid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% от </w:t>
            </w:r>
            <w:r w:rsid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721D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ервоначального</w:t>
            </w:r>
          </w:p>
          <w:p w:rsidR="0088322D" w:rsidRPr="00721D2F" w:rsidRDefault="0088322D" w:rsidP="00721D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B6462" w:rsidRPr="005553C5" w:rsidTr="009B6462">
        <w:trPr>
          <w:gridAfter w:val="1"/>
          <w:wAfter w:w="15" w:type="dxa"/>
          <w:trHeight w:val="3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3214" w:type="dxa"/>
            <w:gridSpan w:val="4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 результатов исполнения бюджета</w:t>
            </w:r>
          </w:p>
        </w:tc>
      </w:tr>
      <w:tr w:rsidR="009B6462" w:rsidRPr="005553C5" w:rsidTr="009B6462">
        <w:trPr>
          <w:gridAfter w:val="1"/>
          <w:wAfter w:w="15" w:type="dxa"/>
          <w:trHeight w:val="94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Степень использования лимитов бюджетных обязательств (без учёта средств из других бюджетов бюджетной системы РФ)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</w:tr>
      <w:tr w:rsidR="009B6462" w:rsidRPr="005553C5" w:rsidTr="009B6462">
        <w:trPr>
          <w:gridAfter w:val="1"/>
          <w:wAfter w:w="15" w:type="dxa"/>
          <w:trHeight w:val="94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94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уточнения ведомственных (развития и функционирования) и долгосрочных целевых программ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64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расходов на оказание услуг (выполнение работ) МУ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B6462" w:rsidRPr="005553C5" w:rsidTr="009B6462">
        <w:trPr>
          <w:gridAfter w:val="2"/>
          <w:wAfter w:w="1136" w:type="dxa"/>
          <w:trHeight w:val="49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93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Управление обязательствами в процессе исполнения бюджета</w:t>
            </w:r>
          </w:p>
        </w:tc>
      </w:tr>
      <w:tr w:rsidR="009B6462" w:rsidRPr="005553C5" w:rsidTr="009B6462">
        <w:trPr>
          <w:gridAfter w:val="1"/>
          <w:wAfter w:w="15" w:type="dxa"/>
          <w:trHeight w:val="117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88322D">
        <w:trPr>
          <w:gridAfter w:val="1"/>
          <w:wAfter w:w="15" w:type="dxa"/>
          <w:trHeight w:val="1483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Деятельность ГРБС в части снижения и ликвидации просроченной кредиторской задолженности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88322D">
        <w:trPr>
          <w:gridAfter w:val="1"/>
          <w:wAfter w:w="15" w:type="dxa"/>
          <w:trHeight w:val="9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3.3.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у ГРБС(РБС)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214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Изменение дебиторской задолженности ГРБС(РБС)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B6462" w:rsidRPr="005553C5" w:rsidTr="009B6462">
        <w:trPr>
          <w:gridAfter w:val="1"/>
          <w:wAfter w:w="15" w:type="dxa"/>
          <w:trHeight w:val="6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13214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6B31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Оказание муниципальных услуг (выполнение работ), реструктуризация бюджетного сектора</w:t>
            </w:r>
          </w:p>
        </w:tc>
      </w:tr>
      <w:tr w:rsidR="009B6462" w:rsidRPr="005553C5" w:rsidTr="009B6462">
        <w:trPr>
          <w:gridAfter w:val="1"/>
          <w:wAfter w:w="15" w:type="dxa"/>
          <w:trHeight w:val="63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муниципальными учреждениями утвержденного муниципального задания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31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Вос</w:t>
            </w:r>
            <w:r w:rsid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требованность муниципальных услуг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</w:tr>
      <w:tr w:rsidR="009B6462" w:rsidRPr="005553C5" w:rsidTr="0088322D">
        <w:trPr>
          <w:gridAfter w:val="1"/>
          <w:wAfter w:w="15" w:type="dxa"/>
          <w:trHeight w:val="9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Прирост объема доходов муниципальных бюджетных (автономных) учреждений от приносящей доход деятельности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88322D">
        <w:trPr>
          <w:gridAfter w:val="1"/>
          <w:wAfter w:w="15" w:type="dxa"/>
          <w:trHeight w:val="189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4.4.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127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4.5.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муниципальных учреждений, информация о результатах деятельности которых размещена в информационно-телекоммуникационной сети «Интернет»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33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1321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Учет и отчетность</w:t>
            </w:r>
          </w:p>
        </w:tc>
      </w:tr>
      <w:tr w:rsidR="009B6462" w:rsidRPr="005553C5" w:rsidTr="009B6462">
        <w:trPr>
          <w:gridAfter w:val="1"/>
          <w:wAfter w:w="15" w:type="dxa"/>
          <w:trHeight w:val="94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64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5.2.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Соблюдение   сроков представления  ГРБС бюджетной отчетности  </w:t>
            </w:r>
          </w:p>
          <w:p w:rsidR="0088322D" w:rsidRPr="009B6462" w:rsidRDefault="0088322D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gridAfter w:val="1"/>
          <w:wAfter w:w="15" w:type="dxa"/>
          <w:trHeight w:val="3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0" w:rsidRPr="005553C5" w:rsidRDefault="00664DF0" w:rsidP="00D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32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0" w:rsidRPr="005553C5" w:rsidRDefault="00664DF0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 и аудит</w:t>
            </w:r>
          </w:p>
        </w:tc>
      </w:tr>
      <w:tr w:rsidR="009B6462" w:rsidRPr="005553C5" w:rsidTr="009B6462">
        <w:trPr>
          <w:gridAfter w:val="1"/>
          <w:wAfter w:w="15" w:type="dxa"/>
          <w:trHeight w:val="6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6.1.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Динамика финансовых нарушений, выявленных в ходе внешних контрольных мероприятий    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9B6462">
        <w:trPr>
          <w:trHeight w:val="6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6.2.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Качество       правового акта ГРБС об организации   ведомственного     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6B316B">
        <w:trPr>
          <w:gridAfter w:val="1"/>
          <w:wAfter w:w="15" w:type="dxa"/>
          <w:trHeight w:val="96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6.3.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проведенных ГРБС контрольных мероприятий в рамках ведомственного финансового контроля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9B6462" w:rsidRDefault="003C0DE2" w:rsidP="009B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9B6462" w:rsidRPr="005553C5" w:rsidTr="006B316B">
        <w:trPr>
          <w:gridAfter w:val="9"/>
          <w:wAfter w:w="3688" w:type="dxa"/>
          <w:trHeight w:val="3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0" w:rsidRPr="005553C5" w:rsidRDefault="00664DF0" w:rsidP="00D1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9541" w:type="dxa"/>
            <w:gridSpan w:val="32"/>
            <w:tcBorders>
              <w:left w:val="single" w:sz="4" w:space="0" w:color="auto"/>
            </w:tcBorders>
            <w:shd w:val="clear" w:color="auto" w:fill="auto"/>
            <w:hideMark/>
          </w:tcPr>
          <w:p w:rsidR="00664DF0" w:rsidRPr="005553C5" w:rsidRDefault="00664DF0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Исполнение  судебных актов</w:t>
            </w:r>
          </w:p>
        </w:tc>
      </w:tr>
      <w:tr w:rsidR="009B6462" w:rsidRPr="005553C5" w:rsidTr="006B316B">
        <w:trPr>
          <w:gridAfter w:val="1"/>
          <w:wAfter w:w="15" w:type="dxa"/>
          <w:trHeight w:val="63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7.1.</w:t>
            </w:r>
          </w:p>
        </w:tc>
        <w:tc>
          <w:tcPr>
            <w:tcW w:w="4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Сумма,  подлежащая взысканию      по исполнительным документам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B6462" w:rsidRPr="005553C5" w:rsidTr="009B6462">
        <w:trPr>
          <w:gridAfter w:val="1"/>
          <w:wAfter w:w="15" w:type="dxa"/>
          <w:trHeight w:val="19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5553C5" w:rsidRDefault="003C0DE2" w:rsidP="00D145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7.2.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DE2" w:rsidRPr="009B6462" w:rsidRDefault="003C0DE2" w:rsidP="008434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64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9B6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B6462" w:rsidRPr="005553C5" w:rsidTr="009B6462">
        <w:trPr>
          <w:gridAfter w:val="1"/>
          <w:wAfter w:w="15" w:type="dxa"/>
          <w:trHeight w:val="315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30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500</w:t>
            </w:r>
          </w:p>
        </w:tc>
        <w:tc>
          <w:tcPr>
            <w:tcW w:w="42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80F0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3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gridAfter w:val="1"/>
          <w:wAfter w:w="15" w:type="dxa"/>
          <w:trHeight w:val="57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E2" w:rsidRPr="00D145DA" w:rsidRDefault="003C0DE2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применим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7337" w:rsidRPr="005553C5" w:rsidSect="00931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59" w:rsidRDefault="00786359" w:rsidP="00B67177">
      <w:pPr>
        <w:spacing w:after="0" w:line="240" w:lineRule="auto"/>
      </w:pPr>
      <w:r>
        <w:separator/>
      </w:r>
    </w:p>
  </w:endnote>
  <w:endnote w:type="continuationSeparator" w:id="1">
    <w:p w:rsidR="00786359" w:rsidRDefault="00786359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28" w:rsidRDefault="001F2F28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59" w:rsidRDefault="00786359" w:rsidP="00B67177">
      <w:pPr>
        <w:spacing w:after="0" w:line="240" w:lineRule="auto"/>
      </w:pPr>
      <w:r>
        <w:separator/>
      </w:r>
    </w:p>
  </w:footnote>
  <w:footnote w:type="continuationSeparator" w:id="1">
    <w:p w:rsidR="00786359" w:rsidRDefault="00786359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28" w:rsidRPr="004051E3" w:rsidRDefault="001F2F28" w:rsidP="00B67DBF">
    <w:pPr>
      <w:pStyle w:val="a5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28" w:rsidRPr="00733AF9" w:rsidRDefault="00803966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="001F2F28"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 w:rsidR="001F2F28"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1F2F28" w:rsidRPr="003C554C" w:rsidRDefault="001F2F28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7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2397C"/>
    <w:rsid w:val="000732D4"/>
    <w:rsid w:val="00087646"/>
    <w:rsid w:val="000A79B3"/>
    <w:rsid w:val="001E3EB7"/>
    <w:rsid w:val="001F2F28"/>
    <w:rsid w:val="002015B6"/>
    <w:rsid w:val="00211095"/>
    <w:rsid w:val="00224837"/>
    <w:rsid w:val="00245044"/>
    <w:rsid w:val="002462E9"/>
    <w:rsid w:val="00250DAC"/>
    <w:rsid w:val="003206C6"/>
    <w:rsid w:val="00381A96"/>
    <w:rsid w:val="003C0DE2"/>
    <w:rsid w:val="004E7337"/>
    <w:rsid w:val="00513D60"/>
    <w:rsid w:val="005553C5"/>
    <w:rsid w:val="00635DAB"/>
    <w:rsid w:val="006623F8"/>
    <w:rsid w:val="00664DF0"/>
    <w:rsid w:val="006B316B"/>
    <w:rsid w:val="006E5235"/>
    <w:rsid w:val="00721D2F"/>
    <w:rsid w:val="00731C73"/>
    <w:rsid w:val="007557D2"/>
    <w:rsid w:val="00771B1A"/>
    <w:rsid w:val="00786359"/>
    <w:rsid w:val="007B79D4"/>
    <w:rsid w:val="007C7E3D"/>
    <w:rsid w:val="00803966"/>
    <w:rsid w:val="00843424"/>
    <w:rsid w:val="0088322D"/>
    <w:rsid w:val="008F5FC1"/>
    <w:rsid w:val="00915619"/>
    <w:rsid w:val="009268AE"/>
    <w:rsid w:val="009312AA"/>
    <w:rsid w:val="00997451"/>
    <w:rsid w:val="009B2CAD"/>
    <w:rsid w:val="009B4F74"/>
    <w:rsid w:val="009B6462"/>
    <w:rsid w:val="00A07E8A"/>
    <w:rsid w:val="00A629C0"/>
    <w:rsid w:val="00A63F78"/>
    <w:rsid w:val="00AA2DFF"/>
    <w:rsid w:val="00B1732F"/>
    <w:rsid w:val="00B62813"/>
    <w:rsid w:val="00B67177"/>
    <w:rsid w:val="00B67DBF"/>
    <w:rsid w:val="00B70593"/>
    <w:rsid w:val="00BF218C"/>
    <w:rsid w:val="00C01BCF"/>
    <w:rsid w:val="00C52A5C"/>
    <w:rsid w:val="00CC4B54"/>
    <w:rsid w:val="00D145DA"/>
    <w:rsid w:val="00D158EF"/>
    <w:rsid w:val="00D92F97"/>
    <w:rsid w:val="00E14334"/>
    <w:rsid w:val="00E42571"/>
    <w:rsid w:val="00E63E5C"/>
    <w:rsid w:val="00EB0FEE"/>
    <w:rsid w:val="00EC20B7"/>
    <w:rsid w:val="00ED472E"/>
    <w:rsid w:val="00F87D00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424"/>
  </w:style>
  <w:style w:type="paragraph" w:styleId="1">
    <w:name w:val="heading 1"/>
    <w:basedOn w:val="a0"/>
    <w:next w:val="a0"/>
    <w:link w:val="10"/>
    <w:uiPriority w:val="9"/>
    <w:qFormat/>
    <w:rsid w:val="0084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3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34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34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4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843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8434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8434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8434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84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3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3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3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843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843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8434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843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8434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8434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843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843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843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8434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843424"/>
    <w:rPr>
      <w:b/>
      <w:bCs/>
    </w:rPr>
  </w:style>
  <w:style w:type="character" w:styleId="af3">
    <w:name w:val="Emphasis"/>
    <w:basedOn w:val="a1"/>
    <w:uiPriority w:val="20"/>
    <w:qFormat/>
    <w:rsid w:val="00843424"/>
    <w:rPr>
      <w:i/>
      <w:iCs/>
    </w:rPr>
  </w:style>
  <w:style w:type="paragraph" w:styleId="af4">
    <w:name w:val="No Spacing"/>
    <w:uiPriority w:val="1"/>
    <w:qFormat/>
    <w:rsid w:val="00843424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84342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4342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43424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843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843424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843424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843424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843424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84342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843424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8434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319285373419314E-2"/>
          <c:y val="0.13236268631558668"/>
          <c:w val="0.90658019765466458"/>
          <c:h val="0.487770812629004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dLbls>
            <c:dLbl>
              <c:idx val="0"/>
              <c:layout>
                <c:manualLayout>
                  <c:x val="-4.0097138774437401E-2"/>
                  <c:y val="-3.426091075632131E-2"/>
                </c:manualLayout>
              </c:layout>
              <c:showVal val="1"/>
            </c:dLbl>
            <c:dLbl>
              <c:idx val="1"/>
              <c:layout>
                <c:manualLayout>
                  <c:x val="-4.0339689555731001E-2"/>
                  <c:y val="-3.426091075632131E-2"/>
                </c:manualLayout>
              </c:layout>
              <c:showVal val="1"/>
            </c:dLbl>
            <c:dLbl>
              <c:idx val="2"/>
              <c:layout>
                <c:manualLayout>
                  <c:x val="-4.0339689555731001E-2"/>
                  <c:y val="-3.5304979142800542E-2"/>
                </c:manualLayout>
              </c:layout>
              <c:showVal val="1"/>
            </c:dLbl>
            <c:dLbl>
              <c:idx val="3"/>
              <c:layout>
                <c:manualLayout>
                  <c:x val="-4.4585957079765585E-2"/>
                  <c:y val="-3.0761348201640615E-2"/>
                </c:manualLayout>
              </c:layout>
              <c:showVal val="1"/>
            </c:dLbl>
            <c:dLbl>
              <c:idx val="4"/>
              <c:layout>
                <c:manualLayout>
                  <c:x val="-3.8216555793713414E-2"/>
                  <c:y val="-2.585035986523784E-2"/>
                </c:manualLayout>
              </c:layout>
              <c:showVal val="1"/>
            </c:dLbl>
            <c:dLbl>
              <c:idx val="5"/>
              <c:layout>
                <c:manualLayout>
                  <c:x val="-4.4585957079765585E-2"/>
                  <c:y val="-3.776047331100188E-2"/>
                </c:manualLayout>
              </c:layout>
              <c:showVal val="1"/>
            </c:dLbl>
            <c:dLbl>
              <c:idx val="6"/>
              <c:layout>
                <c:manualLayout>
                  <c:x val="-4.2462823317748512E-2"/>
                  <c:y val="-4.8545506397335687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ДО</c:v>
                </c:pt>
                <c:pt idx="1">
                  <c:v>ДТиСР</c:v>
                </c:pt>
                <c:pt idx="2">
                  <c:v>ДФ</c:v>
                </c:pt>
                <c:pt idx="3">
                  <c:v>ДКиМП</c:v>
                </c:pt>
                <c:pt idx="4">
                  <c:v>ДЖКХ</c:v>
                </c:pt>
                <c:pt idx="5">
                  <c:v>АТМР</c:v>
                </c:pt>
                <c:pt idx="6">
                  <c:v>ДМИ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555.79999999999995</c:v>
                </c:pt>
                <c:pt idx="1">
                  <c:v>549.6</c:v>
                </c:pt>
                <c:pt idx="2">
                  <c:v>465.5</c:v>
                </c:pt>
                <c:pt idx="3">
                  <c:v>462.6</c:v>
                </c:pt>
                <c:pt idx="4">
                  <c:v>443.4</c:v>
                </c:pt>
                <c:pt idx="5">
                  <c:v>399.1</c:v>
                </c:pt>
                <c:pt idx="6">
                  <c:v>377.7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marker>
            <c:spPr>
              <a:ln>
                <a:solidFill>
                  <a:schemeClr val="accent1"/>
                </a:solidFill>
              </a:ln>
            </c:spPr>
          </c:marker>
          <c:cat>
            <c:strRef>
              <c:f>Лист1!$A$2:$A$8</c:f>
              <c:strCache>
                <c:ptCount val="7"/>
                <c:pt idx="0">
                  <c:v>ДО</c:v>
                </c:pt>
                <c:pt idx="1">
                  <c:v>ДТиСР</c:v>
                </c:pt>
                <c:pt idx="2">
                  <c:v>ДФ</c:v>
                </c:pt>
                <c:pt idx="3">
                  <c:v>ДКиМП</c:v>
                </c:pt>
                <c:pt idx="4">
                  <c:v>ДЖКХ</c:v>
                </c:pt>
                <c:pt idx="5">
                  <c:v>АТМР</c:v>
                </c:pt>
                <c:pt idx="6">
                  <c:v>ДМИ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393.3</c:v>
                </c:pt>
                <c:pt idx="1">
                  <c:v>393.3</c:v>
                </c:pt>
                <c:pt idx="2">
                  <c:v>393.3</c:v>
                </c:pt>
                <c:pt idx="3">
                  <c:v>393.3</c:v>
                </c:pt>
                <c:pt idx="4">
                  <c:v>393.3</c:v>
                </c:pt>
                <c:pt idx="5">
                  <c:v>393.3</c:v>
                </c:pt>
                <c:pt idx="6">
                  <c:v>393.3</c:v>
                </c:pt>
              </c:numCache>
            </c:numRef>
          </c:val>
        </c:ser>
        <c:dropLines/>
        <c:marker val="1"/>
        <c:axId val="80105856"/>
        <c:axId val="92479488"/>
      </c:lineChart>
      <c:catAx>
        <c:axId val="80105856"/>
        <c:scaling>
          <c:orientation val="minMax"/>
        </c:scaling>
        <c:axPos val="b"/>
        <c:numFmt formatCode="#,##0.00" sourceLinked="0"/>
        <c:majorTickMark val="none"/>
        <c:tickLblPos val="nextTo"/>
        <c:spPr>
          <a:ln cmpd="sng"/>
        </c:spPr>
        <c:crossAx val="92479488"/>
        <c:crosses val="autoZero"/>
        <c:auto val="1"/>
        <c:lblAlgn val="ctr"/>
        <c:lblOffset val="100"/>
      </c:catAx>
      <c:valAx>
        <c:axId val="92479488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80105856"/>
        <c:crosses val="autoZero"/>
        <c:crossBetween val="between"/>
      </c:valAx>
      <c:spPr>
        <a:ln cap="sq"/>
      </c:spPr>
    </c:plotArea>
    <c:legend>
      <c:legendPos val="b"/>
    </c:legend>
    <c:plotVisOnly val="1"/>
    <c:dispBlanksAs val="gap"/>
  </c:chart>
  <c:txPr>
    <a:bodyPr/>
    <a:lstStyle/>
    <a:p>
      <a:pPr>
        <a:defRPr sz="14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22A6-D994-49A9-BEDE-1ED7BC9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35</cp:revision>
  <cp:lastPrinted>2015-07-27T11:09:00Z</cp:lastPrinted>
  <dcterms:created xsi:type="dcterms:W3CDTF">2015-07-14T10:45:00Z</dcterms:created>
  <dcterms:modified xsi:type="dcterms:W3CDTF">2015-07-27T11:09:00Z</dcterms:modified>
</cp:coreProperties>
</file>