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0F" w:rsidRPr="0050232F" w:rsidRDefault="005E0A0F" w:rsidP="0050232F">
      <w:pPr>
        <w:spacing w:after="0" w:line="240" w:lineRule="auto"/>
        <w:ind w:firstLine="249"/>
        <w:jc w:val="center"/>
        <w:rPr>
          <w:rFonts w:ascii="Times New Roman" w:eastAsia="Times New Roman" w:hAnsi="Times New Roman" w:cs="Times New Roman"/>
          <w:sz w:val="32"/>
          <w:szCs w:val="32"/>
          <w:lang w:eastAsia="ru-RU"/>
        </w:rPr>
      </w:pPr>
      <w:r w:rsidRPr="0050232F">
        <w:rPr>
          <w:rFonts w:ascii="Times New Roman" w:eastAsia="Times New Roman" w:hAnsi="Times New Roman" w:cs="Times New Roman"/>
          <w:b/>
          <w:bCs/>
          <w:sz w:val="32"/>
          <w:szCs w:val="32"/>
          <w:lang w:eastAsia="ru-RU"/>
        </w:rPr>
        <w:t>ОТЧЕТ</w:t>
      </w:r>
    </w:p>
    <w:p w:rsidR="005E0A0F" w:rsidRPr="0050232F" w:rsidRDefault="005E0A0F" w:rsidP="0050232F">
      <w:pPr>
        <w:spacing w:after="0" w:line="240" w:lineRule="auto"/>
        <w:ind w:firstLine="249"/>
        <w:jc w:val="center"/>
        <w:rPr>
          <w:rFonts w:ascii="Times New Roman" w:eastAsia="Times New Roman" w:hAnsi="Times New Roman" w:cs="Times New Roman"/>
          <w:sz w:val="32"/>
          <w:szCs w:val="32"/>
          <w:lang w:eastAsia="ru-RU"/>
        </w:rPr>
      </w:pPr>
      <w:r w:rsidRPr="0050232F">
        <w:rPr>
          <w:rFonts w:ascii="Times New Roman" w:eastAsia="Times New Roman" w:hAnsi="Times New Roman" w:cs="Times New Roman"/>
          <w:b/>
          <w:bCs/>
          <w:sz w:val="32"/>
          <w:szCs w:val="32"/>
          <w:lang w:eastAsia="ru-RU"/>
        </w:rPr>
        <w:t xml:space="preserve">о работе </w:t>
      </w:r>
      <w:r w:rsidR="0050232F">
        <w:rPr>
          <w:rFonts w:ascii="Times New Roman" w:eastAsia="Times New Roman" w:hAnsi="Times New Roman" w:cs="Times New Roman"/>
          <w:b/>
          <w:bCs/>
          <w:sz w:val="32"/>
          <w:szCs w:val="32"/>
          <w:lang w:eastAsia="ru-RU"/>
        </w:rPr>
        <w:t>департамента финансов</w:t>
      </w:r>
      <w:r w:rsidRPr="0050232F">
        <w:rPr>
          <w:rFonts w:ascii="Times New Roman" w:eastAsia="Times New Roman" w:hAnsi="Times New Roman" w:cs="Times New Roman"/>
          <w:b/>
          <w:bCs/>
          <w:sz w:val="32"/>
          <w:szCs w:val="32"/>
          <w:lang w:eastAsia="ru-RU"/>
        </w:rPr>
        <w:t xml:space="preserve"> </w:t>
      </w:r>
    </w:p>
    <w:p w:rsidR="00927906" w:rsidRDefault="005E0A0F" w:rsidP="0050232F">
      <w:pPr>
        <w:spacing w:after="0" w:line="240" w:lineRule="auto"/>
        <w:ind w:firstLine="249"/>
        <w:jc w:val="center"/>
        <w:rPr>
          <w:rFonts w:ascii="Times New Roman" w:eastAsia="Times New Roman" w:hAnsi="Times New Roman" w:cs="Times New Roman"/>
          <w:b/>
          <w:bCs/>
          <w:sz w:val="32"/>
          <w:szCs w:val="32"/>
          <w:lang w:eastAsia="ru-RU"/>
        </w:rPr>
      </w:pPr>
      <w:r w:rsidRPr="0050232F">
        <w:rPr>
          <w:rFonts w:ascii="Times New Roman" w:eastAsia="Times New Roman" w:hAnsi="Times New Roman" w:cs="Times New Roman"/>
          <w:b/>
          <w:bCs/>
          <w:sz w:val="32"/>
          <w:szCs w:val="32"/>
          <w:lang w:eastAsia="ru-RU"/>
        </w:rPr>
        <w:t xml:space="preserve">администрации </w:t>
      </w:r>
      <w:r w:rsidR="0050232F">
        <w:rPr>
          <w:rFonts w:ascii="Times New Roman" w:eastAsia="Times New Roman" w:hAnsi="Times New Roman" w:cs="Times New Roman"/>
          <w:b/>
          <w:bCs/>
          <w:sz w:val="32"/>
          <w:szCs w:val="32"/>
          <w:lang w:eastAsia="ru-RU"/>
        </w:rPr>
        <w:t>Тутаевского муниципального района</w:t>
      </w:r>
      <w:r w:rsidRPr="0050232F">
        <w:rPr>
          <w:rFonts w:ascii="Times New Roman" w:eastAsia="Times New Roman" w:hAnsi="Times New Roman" w:cs="Times New Roman"/>
          <w:b/>
          <w:bCs/>
          <w:sz w:val="32"/>
          <w:szCs w:val="32"/>
          <w:lang w:eastAsia="ru-RU"/>
        </w:rPr>
        <w:t xml:space="preserve"> </w:t>
      </w:r>
    </w:p>
    <w:p w:rsidR="005E0A0F" w:rsidRDefault="005E0A0F" w:rsidP="0050232F">
      <w:pPr>
        <w:spacing w:after="0" w:line="240" w:lineRule="auto"/>
        <w:ind w:firstLine="249"/>
        <w:jc w:val="center"/>
        <w:rPr>
          <w:rFonts w:ascii="Times New Roman" w:eastAsia="Times New Roman" w:hAnsi="Times New Roman" w:cs="Times New Roman"/>
          <w:b/>
          <w:bCs/>
          <w:sz w:val="32"/>
          <w:szCs w:val="32"/>
          <w:lang w:eastAsia="ru-RU"/>
        </w:rPr>
      </w:pPr>
      <w:r w:rsidRPr="0050232F">
        <w:rPr>
          <w:rFonts w:ascii="Times New Roman" w:eastAsia="Times New Roman" w:hAnsi="Times New Roman" w:cs="Times New Roman"/>
          <w:b/>
          <w:bCs/>
          <w:sz w:val="32"/>
          <w:szCs w:val="32"/>
          <w:lang w:eastAsia="ru-RU"/>
        </w:rPr>
        <w:t>за 201</w:t>
      </w:r>
      <w:r w:rsidR="00151020">
        <w:rPr>
          <w:rFonts w:ascii="Times New Roman" w:eastAsia="Times New Roman" w:hAnsi="Times New Roman" w:cs="Times New Roman"/>
          <w:b/>
          <w:bCs/>
          <w:sz w:val="32"/>
          <w:szCs w:val="32"/>
          <w:lang w:eastAsia="ru-RU"/>
        </w:rPr>
        <w:t>9</w:t>
      </w:r>
      <w:r w:rsidR="0050232F">
        <w:rPr>
          <w:rFonts w:ascii="Times New Roman" w:eastAsia="Times New Roman" w:hAnsi="Times New Roman" w:cs="Times New Roman"/>
          <w:b/>
          <w:bCs/>
          <w:sz w:val="32"/>
          <w:szCs w:val="32"/>
          <w:lang w:eastAsia="ru-RU"/>
        </w:rPr>
        <w:t xml:space="preserve"> </w:t>
      </w:r>
      <w:r w:rsidRPr="0050232F">
        <w:rPr>
          <w:rFonts w:ascii="Times New Roman" w:eastAsia="Times New Roman" w:hAnsi="Times New Roman" w:cs="Times New Roman"/>
          <w:b/>
          <w:bCs/>
          <w:sz w:val="32"/>
          <w:szCs w:val="32"/>
          <w:lang w:eastAsia="ru-RU"/>
        </w:rPr>
        <w:t xml:space="preserve">год </w:t>
      </w:r>
    </w:p>
    <w:p w:rsidR="00E77D94" w:rsidRDefault="004A7A13" w:rsidP="00E77D94">
      <w:pPr>
        <w:jc w:val="both"/>
        <w:rPr>
          <w:rFonts w:eastAsia="Arial"/>
          <w:u w:val="single"/>
        </w:rPr>
      </w:pPr>
      <w:r w:rsidRPr="004A7A13">
        <w:rPr>
          <w:rFonts w:ascii="Times New Roman" w:eastAsia="Arial" w:hAnsi="Times New Roman" w:cs="Times New Roman"/>
          <w:color w:val="000000"/>
          <w:sz w:val="28"/>
          <w:szCs w:val="28"/>
        </w:rPr>
        <w:t xml:space="preserve">               </w:t>
      </w:r>
      <w:r w:rsidRPr="004A7A13">
        <w:rPr>
          <w:rFonts w:ascii="Times New Roman" w:hAnsi="Times New Roman" w:cs="Times New Roman"/>
          <w:color w:val="000000"/>
          <w:sz w:val="28"/>
          <w:szCs w:val="28"/>
        </w:rPr>
        <w:t xml:space="preserve">        </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На 2019 год бюджет ТМР был сформирован и утвержден в установленные сроки, с соблюдением бюджетного законодательства. В течение 2019 финансового года произведено 6 уточнений в решение о бюджете района. Бюджет был сформирован в рамках программ и не программных мероприятий, доля программных расходов за 2019 год составила 93,2%. Доля программных расходов увеличилась к уровню 2018 года на 6,5%.</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В ходе кассового исполнения бюджета в течение 2019 финансового года департамент финансов обслуживал 179 лицевых счетов 70 участников и </w:t>
      </w:r>
      <w:proofErr w:type="spellStart"/>
      <w:r w:rsidRPr="00151020">
        <w:rPr>
          <w:rFonts w:ascii="Times New Roman" w:hAnsi="Times New Roman" w:cs="Times New Roman"/>
          <w:sz w:val="28"/>
          <w:szCs w:val="28"/>
        </w:rPr>
        <w:t>неучастников</w:t>
      </w:r>
      <w:proofErr w:type="spellEnd"/>
      <w:r w:rsidRPr="00151020">
        <w:rPr>
          <w:rFonts w:ascii="Times New Roman" w:hAnsi="Times New Roman" w:cs="Times New Roman"/>
          <w:sz w:val="28"/>
          <w:szCs w:val="28"/>
        </w:rPr>
        <w:t xml:space="preserve"> бюджетного </w:t>
      </w:r>
      <w:proofErr w:type="gramStart"/>
      <w:r w:rsidRPr="00151020">
        <w:rPr>
          <w:rFonts w:ascii="Times New Roman" w:hAnsi="Times New Roman" w:cs="Times New Roman"/>
          <w:sz w:val="28"/>
          <w:szCs w:val="28"/>
        </w:rPr>
        <w:t>процесса  Тутаевского</w:t>
      </w:r>
      <w:proofErr w:type="gramEnd"/>
      <w:r w:rsidRPr="00151020">
        <w:rPr>
          <w:rFonts w:ascii="Times New Roman" w:hAnsi="Times New Roman" w:cs="Times New Roman"/>
          <w:sz w:val="28"/>
          <w:szCs w:val="28"/>
        </w:rPr>
        <w:t xml:space="preserve"> муниципального района и  городского поселения Тутаев. Проведены мероприятия по закрытию и открытию 4 лицевых счетов.</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Ежедневно осуществлялся предварительный и текущий контроль расходования бюджетных средств, соблюдалась процедура санкционирования оплаты денежных обязательств казенных учреждений, целевых субсидий, выделенных бюджетным учреждениям Тутаевского муниципального района. Принято, проверено, обработано и передано в банк через систему электронного документооборота с УФК 74128 платежных документа, отклонено не прошедших контроль 3089 платежных документов. Сформировано 2152 реестра на перечисление средств со счетов бюджета. Принято 1235 банковских выписок. </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Обработано 17522 платежных документа на зачисление доходов бюджета и бюджетных учреждений.</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Производились прием и проверка Сведений </w:t>
      </w:r>
      <w:proofErr w:type="gramStart"/>
      <w:r w:rsidRPr="00151020">
        <w:rPr>
          <w:rFonts w:ascii="Times New Roman" w:hAnsi="Times New Roman" w:cs="Times New Roman"/>
          <w:sz w:val="28"/>
          <w:szCs w:val="28"/>
        </w:rPr>
        <w:t>об  операциях</w:t>
      </w:r>
      <w:proofErr w:type="gramEnd"/>
      <w:r w:rsidRPr="00151020">
        <w:rPr>
          <w:rFonts w:ascii="Times New Roman" w:hAnsi="Times New Roman" w:cs="Times New Roman"/>
          <w:sz w:val="28"/>
          <w:szCs w:val="28"/>
        </w:rPr>
        <w:t xml:space="preserve"> с целевыми субсидиями бюджетных учреждений. Поступило 832 документа, не прошли контроль и отправлены на уточнение 204 документа.</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 Принято на бумажном носителе 452 Уведомления об уточнении вида и принадлежности платежа по расходам получателей средств бюджета и бюджетных учреждений. Произведено формирование данных Уведомлений в программе АС «Бюджет».</w:t>
      </w:r>
    </w:p>
    <w:p w:rsidR="00151020" w:rsidRPr="00151020" w:rsidRDefault="00151020" w:rsidP="00151020">
      <w:pPr>
        <w:ind w:firstLine="709"/>
        <w:jc w:val="both"/>
        <w:rPr>
          <w:rFonts w:ascii="Times New Roman" w:hAnsi="Times New Roman" w:cs="Times New Roman"/>
          <w:color w:val="FF0000"/>
          <w:sz w:val="28"/>
          <w:szCs w:val="28"/>
        </w:rPr>
      </w:pPr>
      <w:r w:rsidRPr="00151020">
        <w:rPr>
          <w:rFonts w:ascii="Times New Roman" w:hAnsi="Times New Roman" w:cs="Times New Roman"/>
          <w:color w:val="FF0000"/>
          <w:sz w:val="28"/>
          <w:szCs w:val="28"/>
        </w:rPr>
        <w:lastRenderedPageBreak/>
        <w:t xml:space="preserve"> </w:t>
      </w:r>
      <w:r w:rsidRPr="00151020">
        <w:rPr>
          <w:rFonts w:ascii="Times New Roman" w:hAnsi="Times New Roman" w:cs="Times New Roman"/>
          <w:sz w:val="28"/>
          <w:szCs w:val="28"/>
        </w:rPr>
        <w:t>Проводилась ежедневная проверка, выгрузка в программу электронного документооборота, направление клиентам выписок по лицевым счетам. Всего сформировано и направлено клиентам 16944 выписки и 1984 ежемесячных отчета о состоянии лицевых счетов.</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Осуществлялся контроль платежей при зачислении на банковские счета физических лиц, операции по которым осуществляются с использованием национальных платежных инструментов (платежных карт «Мир») в соответствии с ФЗ от 27.06.2011г. №161-ФЗ «О национальной платежной системе».</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Обеспечивался учет бюджетных обязательств, подлежащих исполнению за счет средств Тутаевского муниципального района. Поставлено на учет, включая изменения, 6861 документ, по результатам проверки не прошли контроль и отправлены на доработку 903 контракта.</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 Осуществлялось исполнительное производство в отношении исполнительных документов, обращающих взыскания на </w:t>
      </w:r>
      <w:proofErr w:type="gramStart"/>
      <w:r w:rsidRPr="00151020">
        <w:rPr>
          <w:rFonts w:ascii="Times New Roman" w:hAnsi="Times New Roman" w:cs="Times New Roman"/>
          <w:sz w:val="28"/>
          <w:szCs w:val="28"/>
        </w:rPr>
        <w:t>средства  бюджета</w:t>
      </w:r>
      <w:proofErr w:type="gramEnd"/>
      <w:r w:rsidRPr="00151020">
        <w:rPr>
          <w:rFonts w:ascii="Times New Roman" w:hAnsi="Times New Roman" w:cs="Times New Roman"/>
          <w:sz w:val="28"/>
          <w:szCs w:val="28"/>
        </w:rPr>
        <w:t xml:space="preserve"> Тутаевского муниципального района и городского поселения Тутаев. За 2019 год поступило 72 исполнительных листа на общую сумму 18715,7 тыс. рублей и 185 решений налогового органа на общую сумму 9378,8 тыс. рублей, исполнено исполнительных документов (с учетом задолженности на 01.01.2019г.)  на общую сумму 22593,8 тыс. рублей.  Задолженность на 01.01.2020 года составляет 10301,8 тыс. рублей.</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В рамках реализации внедрения государственной информационной системы управления общественными финансами «Электронный бюджет» осуществлялись функции по формированию Реестра участников и не участников бюджетного процесса (в течение года внесены 27 изменения и дополнения), осуществлялся контроль за формированием и ведением ведомственного перечня услуг, а так же осуществляется заключение соглашений на предоставление средств из вышестоящих бюджетов. </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В рамках реализации приказа Минфина РФ от 21 июля 2011 года №86-н осуществлялось администрирование сайта «</w:t>
      </w:r>
      <w:r w:rsidRPr="00151020">
        <w:rPr>
          <w:rFonts w:ascii="Times New Roman" w:hAnsi="Times New Roman" w:cs="Times New Roman"/>
          <w:sz w:val="28"/>
          <w:szCs w:val="28"/>
          <w:lang w:val="en-US"/>
        </w:rPr>
        <w:t>Web</w:t>
      </w:r>
      <w:r w:rsidRPr="00151020">
        <w:rPr>
          <w:rFonts w:ascii="Times New Roman" w:hAnsi="Times New Roman" w:cs="Times New Roman"/>
          <w:sz w:val="28"/>
          <w:szCs w:val="28"/>
        </w:rPr>
        <w:t>-Консолидация 86н», в части ведения и актуализации справочников. Так же велся постоянный контроль за своевременным размещением информации муниципальными бюджетными и казенными учреждениями.</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Проводился контроль предусмотренный частью 5 статьи 99 Федерального </w:t>
      </w:r>
      <w:proofErr w:type="gramStart"/>
      <w:r w:rsidRPr="00151020">
        <w:rPr>
          <w:rFonts w:ascii="Times New Roman" w:hAnsi="Times New Roman" w:cs="Times New Roman"/>
          <w:sz w:val="28"/>
          <w:szCs w:val="28"/>
        </w:rPr>
        <w:t>закона  «</w:t>
      </w:r>
      <w:proofErr w:type="gramEnd"/>
      <w:r w:rsidRPr="00151020">
        <w:rPr>
          <w:rFonts w:ascii="Times New Roman" w:hAnsi="Times New Roman" w:cs="Times New Roman"/>
          <w:sz w:val="28"/>
          <w:szCs w:val="28"/>
        </w:rPr>
        <w:t xml:space="preserve">О контрактной системе в сфере закупок товаров, работ, </w:t>
      </w:r>
      <w:r w:rsidRPr="00151020">
        <w:rPr>
          <w:rFonts w:ascii="Times New Roman" w:hAnsi="Times New Roman" w:cs="Times New Roman"/>
          <w:sz w:val="28"/>
          <w:szCs w:val="28"/>
        </w:rPr>
        <w:lastRenderedPageBreak/>
        <w:t>услуг для обеспечения государственных и муниципальных нужд», в том числе по муниципальным унитарным предприятиям. Принято на контроль 3393 документа, по результатам проверки не прошли контроль и отправлены на доработку 384 документа.</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Исполнялись требования по ежедневному направлению в ГИС ГМП информации о платежах на оплату государственных и муниципальных услуг с лицевых счетов, открытых в департаменте финансов, отправлено 25163 платежных документа.</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В рамках оптимизации расходов проводился мониторинг кред</w:t>
      </w:r>
      <w:r w:rsidRPr="00151020">
        <w:rPr>
          <w:rFonts w:ascii="Times New Roman" w:hAnsi="Times New Roman" w:cs="Times New Roman"/>
          <w:sz w:val="28"/>
          <w:szCs w:val="28"/>
        </w:rPr>
        <w:t>и</w:t>
      </w:r>
      <w:r w:rsidRPr="00151020">
        <w:rPr>
          <w:rFonts w:ascii="Times New Roman" w:hAnsi="Times New Roman" w:cs="Times New Roman"/>
          <w:sz w:val="28"/>
          <w:szCs w:val="28"/>
        </w:rPr>
        <w:t>торской задолженности с анализом просроченной кредиторской задолженности. Еженедельно комиссия согл</w:t>
      </w:r>
      <w:r w:rsidRPr="00151020">
        <w:rPr>
          <w:rFonts w:ascii="Times New Roman" w:hAnsi="Times New Roman" w:cs="Times New Roman"/>
          <w:sz w:val="28"/>
          <w:szCs w:val="28"/>
        </w:rPr>
        <w:t>а</w:t>
      </w:r>
      <w:r w:rsidRPr="00151020">
        <w:rPr>
          <w:rFonts w:ascii="Times New Roman" w:hAnsi="Times New Roman" w:cs="Times New Roman"/>
          <w:sz w:val="28"/>
          <w:szCs w:val="28"/>
        </w:rPr>
        <w:t>совывала прямые муниципальные контрактов. Проводился анализ потребления коммунальных услуг казенными и бюджетными учреждени</w:t>
      </w:r>
      <w:r w:rsidRPr="00151020">
        <w:rPr>
          <w:rFonts w:ascii="Times New Roman" w:hAnsi="Times New Roman" w:cs="Times New Roman"/>
          <w:sz w:val="28"/>
          <w:szCs w:val="28"/>
        </w:rPr>
        <w:t>я</w:t>
      </w:r>
      <w:r w:rsidRPr="00151020">
        <w:rPr>
          <w:rFonts w:ascii="Times New Roman" w:hAnsi="Times New Roman" w:cs="Times New Roman"/>
          <w:sz w:val="28"/>
          <w:szCs w:val="28"/>
        </w:rPr>
        <w:t xml:space="preserve">ми. На территории Тутаевского муниципального района внедрены </w:t>
      </w:r>
      <w:proofErr w:type="gramStart"/>
      <w:r w:rsidRPr="00151020">
        <w:rPr>
          <w:rFonts w:ascii="Times New Roman" w:hAnsi="Times New Roman" w:cs="Times New Roman"/>
          <w:sz w:val="28"/>
          <w:szCs w:val="28"/>
        </w:rPr>
        <w:t>энергоэффективные  исто</w:t>
      </w:r>
      <w:r w:rsidRPr="00151020">
        <w:rPr>
          <w:rFonts w:ascii="Times New Roman" w:hAnsi="Times New Roman" w:cs="Times New Roman"/>
          <w:sz w:val="28"/>
          <w:szCs w:val="28"/>
        </w:rPr>
        <w:t>ч</w:t>
      </w:r>
      <w:r w:rsidRPr="00151020">
        <w:rPr>
          <w:rFonts w:ascii="Times New Roman" w:hAnsi="Times New Roman" w:cs="Times New Roman"/>
          <w:sz w:val="28"/>
          <w:szCs w:val="28"/>
        </w:rPr>
        <w:t>ники</w:t>
      </w:r>
      <w:proofErr w:type="gramEnd"/>
      <w:r w:rsidRPr="00151020">
        <w:rPr>
          <w:rFonts w:ascii="Times New Roman" w:hAnsi="Times New Roman" w:cs="Times New Roman"/>
          <w:sz w:val="28"/>
          <w:szCs w:val="28"/>
        </w:rPr>
        <w:t xml:space="preserve"> освещения. В бюджетных учреждениях отремонтированы аварийные участки теплоснабжения, водоснабжения и водоотведения. Произведена з</w:t>
      </w:r>
      <w:r w:rsidRPr="00151020">
        <w:rPr>
          <w:rFonts w:ascii="Times New Roman" w:hAnsi="Times New Roman" w:cs="Times New Roman"/>
          <w:sz w:val="28"/>
          <w:szCs w:val="28"/>
        </w:rPr>
        <w:t>а</w:t>
      </w:r>
      <w:r w:rsidRPr="00151020">
        <w:rPr>
          <w:rFonts w:ascii="Times New Roman" w:hAnsi="Times New Roman" w:cs="Times New Roman"/>
          <w:sz w:val="28"/>
          <w:szCs w:val="28"/>
        </w:rPr>
        <w:t>мена оконных блоков и дверных проемов. В некоторых учреждениях восстановлена кро</w:t>
      </w:r>
      <w:r w:rsidRPr="00151020">
        <w:rPr>
          <w:rFonts w:ascii="Times New Roman" w:hAnsi="Times New Roman" w:cs="Times New Roman"/>
          <w:sz w:val="28"/>
          <w:szCs w:val="28"/>
        </w:rPr>
        <w:t>в</w:t>
      </w:r>
      <w:r w:rsidRPr="00151020">
        <w:rPr>
          <w:rFonts w:ascii="Times New Roman" w:hAnsi="Times New Roman" w:cs="Times New Roman"/>
          <w:sz w:val="28"/>
          <w:szCs w:val="28"/>
        </w:rPr>
        <w:t>ля.</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В рамках осуществления контроля в сфере закупок по части 3 статьи 99 закона о контрактной системе №44-ФЗ проведено 12 плановых проверок, выявлено 329 нарушений норм закона и подзаконных нормативно-правовых актов. Общий объем средств, охваченный проверками, составил 93 407 763,56 руб. Выявлено нарушений на общую сумму 880 670,26 руб., устранено финансовых нарушений на общую сумму 124 797,14 руб., в том числе возмещено в бюджет 39 480,12 руб. </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В целях пополнения доходной части бюджета, оптимизации и более эффективного расходования бюджетных средств в 2019 году осуществлялись мероприятия в соответствии с планом, утвержденным постановлением Администрации ТМР от 18.01.2019 №24-п. </w:t>
      </w:r>
    </w:p>
    <w:p w:rsidR="00151020" w:rsidRPr="00151020" w:rsidRDefault="00151020" w:rsidP="00151020">
      <w:pPr>
        <w:ind w:right="-108" w:firstLine="709"/>
        <w:jc w:val="both"/>
        <w:rPr>
          <w:rFonts w:ascii="Times New Roman" w:hAnsi="Times New Roman" w:cs="Times New Roman"/>
          <w:sz w:val="28"/>
          <w:szCs w:val="28"/>
        </w:rPr>
      </w:pPr>
      <w:r w:rsidRPr="00151020">
        <w:rPr>
          <w:rFonts w:ascii="Times New Roman" w:hAnsi="Times New Roman" w:cs="Times New Roman"/>
          <w:sz w:val="28"/>
          <w:szCs w:val="28"/>
        </w:rPr>
        <w:t>За 2019 год проведено 4 заседания комиссии по ликвидации задолженности в консолидированный бюджет Тутаевского муниципального района и по обеспечению своевременной выплаты заработной платы. Рассмотрен 121 налогоплательщик.</w:t>
      </w:r>
    </w:p>
    <w:p w:rsidR="00151020" w:rsidRPr="00151020" w:rsidRDefault="00151020" w:rsidP="00151020">
      <w:pPr>
        <w:ind w:right="-108"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В результате работы с должниками по состоянию на 01.01.2020 уплачено 2627,48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 в том числе:</w:t>
      </w:r>
    </w:p>
    <w:p w:rsidR="00151020" w:rsidRPr="00151020" w:rsidRDefault="00151020" w:rsidP="00151020">
      <w:pPr>
        <w:ind w:right="-108"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арендная плата за землю – 1188,9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w:t>
      </w:r>
    </w:p>
    <w:p w:rsidR="00151020" w:rsidRPr="00151020" w:rsidRDefault="00151020" w:rsidP="00151020">
      <w:pPr>
        <w:ind w:right="-108" w:firstLine="709"/>
        <w:jc w:val="both"/>
        <w:rPr>
          <w:rFonts w:ascii="Times New Roman" w:hAnsi="Times New Roman" w:cs="Times New Roman"/>
          <w:sz w:val="28"/>
          <w:szCs w:val="28"/>
        </w:rPr>
      </w:pPr>
      <w:r w:rsidRPr="00151020">
        <w:rPr>
          <w:rFonts w:ascii="Times New Roman" w:hAnsi="Times New Roman" w:cs="Times New Roman"/>
          <w:sz w:val="28"/>
          <w:szCs w:val="28"/>
        </w:rPr>
        <w:lastRenderedPageBreak/>
        <w:t xml:space="preserve">страховые взносы – 479,3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w:t>
      </w:r>
    </w:p>
    <w:p w:rsidR="00151020" w:rsidRPr="00151020" w:rsidRDefault="00151020" w:rsidP="00151020">
      <w:pPr>
        <w:ind w:right="-108"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земельный налог – 346,42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w:t>
      </w:r>
    </w:p>
    <w:p w:rsidR="00151020" w:rsidRPr="00151020" w:rsidRDefault="00151020" w:rsidP="00151020">
      <w:pPr>
        <w:ind w:right="-108"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НДФЛ – 302,0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w:t>
      </w:r>
    </w:p>
    <w:p w:rsidR="00151020" w:rsidRPr="00151020" w:rsidRDefault="00151020" w:rsidP="00151020">
      <w:pPr>
        <w:ind w:right="-108"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НДС – 167,7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w:t>
      </w:r>
    </w:p>
    <w:p w:rsidR="00151020" w:rsidRPr="00151020" w:rsidRDefault="00151020" w:rsidP="00151020">
      <w:pPr>
        <w:ind w:right="-108"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налог на имущество физических лиц – 113,46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w:t>
      </w:r>
    </w:p>
    <w:p w:rsidR="00151020" w:rsidRPr="00151020" w:rsidRDefault="00151020" w:rsidP="00151020">
      <w:pPr>
        <w:ind w:right="-108"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транспортный налог – 19,4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w:t>
      </w:r>
    </w:p>
    <w:p w:rsidR="00151020" w:rsidRPr="00151020" w:rsidRDefault="00151020" w:rsidP="00151020">
      <w:pPr>
        <w:ind w:right="-108"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В течение года осуществлялся мониторинг уплаты НДФЛ по 26 организациям. Налог начислен по данным </w:t>
      </w:r>
      <w:proofErr w:type="gramStart"/>
      <w:r w:rsidRPr="00151020">
        <w:rPr>
          <w:rFonts w:ascii="Times New Roman" w:hAnsi="Times New Roman" w:cs="Times New Roman"/>
          <w:sz w:val="28"/>
          <w:szCs w:val="28"/>
        </w:rPr>
        <w:t>организациям  -</w:t>
      </w:r>
      <w:proofErr w:type="gramEnd"/>
      <w:r w:rsidRPr="00151020">
        <w:rPr>
          <w:rFonts w:ascii="Times New Roman" w:hAnsi="Times New Roman" w:cs="Times New Roman"/>
          <w:sz w:val="28"/>
          <w:szCs w:val="28"/>
        </w:rPr>
        <w:t xml:space="preserve"> 69014,2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 xml:space="preserve">. Сумма уплаченного налога по данным организациям составила 65044,3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 xml:space="preserve">. Задолженность на 01.01.2020 составила 19937,8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 xml:space="preserve">., увеличилась на 3969,9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 В адрес должников направлены письма о мерах по погашению задолженности.</w:t>
      </w:r>
    </w:p>
    <w:p w:rsidR="00151020" w:rsidRPr="00151020" w:rsidRDefault="00151020" w:rsidP="00151020">
      <w:pPr>
        <w:ind w:right="-108"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Мониторинг уплаты налога на имущество организаций и земельного налога осуществлялся ежеквартально. На начало 2019 года задолженность по налогу на имущество составляла 4142,3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 xml:space="preserve">. За 2019 год уплачено налога 19028,5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 xml:space="preserve">. Задолженность на 01.01.2020 составила 321,9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 xml:space="preserve">., снижена на 3820,4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 xml:space="preserve">. Задолженности по уплате земельного налога не имеется. Вся сумма начисленных за 2019 год уплачена в полном объеме </w:t>
      </w:r>
      <w:proofErr w:type="gramStart"/>
      <w:r w:rsidRPr="00151020">
        <w:rPr>
          <w:rFonts w:ascii="Times New Roman" w:hAnsi="Times New Roman" w:cs="Times New Roman"/>
          <w:sz w:val="28"/>
          <w:szCs w:val="28"/>
        </w:rPr>
        <w:t>( 4400</w:t>
      </w:r>
      <w:proofErr w:type="gramEnd"/>
      <w:r w:rsidRPr="00151020">
        <w:rPr>
          <w:rFonts w:ascii="Times New Roman" w:hAnsi="Times New Roman" w:cs="Times New Roman"/>
          <w:sz w:val="28"/>
          <w:szCs w:val="28"/>
        </w:rPr>
        <w:t xml:space="preserve">,6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w:t>
      </w:r>
    </w:p>
    <w:p w:rsidR="00151020" w:rsidRPr="00151020" w:rsidRDefault="00151020" w:rsidP="00151020">
      <w:pPr>
        <w:ind w:right="-108" w:firstLine="709"/>
        <w:jc w:val="both"/>
        <w:rPr>
          <w:rFonts w:ascii="Times New Roman" w:hAnsi="Times New Roman" w:cs="Times New Roman"/>
          <w:sz w:val="28"/>
          <w:szCs w:val="28"/>
        </w:rPr>
      </w:pPr>
      <w:r w:rsidRPr="00151020">
        <w:rPr>
          <w:rFonts w:ascii="Times New Roman" w:hAnsi="Times New Roman" w:cs="Times New Roman"/>
          <w:sz w:val="28"/>
          <w:szCs w:val="28"/>
        </w:rPr>
        <w:t>В рамках информационной кампании по имущественным налогам физических лиц проведены следующие мероприятия:</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1) на официальных сайтах Департамента финансов и Администрации ТМР размещены информационные баннеры и ссылки на сайт УФНС РФ по ЯО,</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2) Направлены для размещения на стендах и досках объявлений информационные листовки, плакаты и буклеты в учреждения, обслуживающие население города и района: МУП ТМР «РКЦ ЖКУ», ОАО АТП «Ярославич» и ОАО «</w:t>
      </w:r>
      <w:proofErr w:type="spellStart"/>
      <w:r w:rsidRPr="00151020">
        <w:rPr>
          <w:rFonts w:ascii="Times New Roman" w:hAnsi="Times New Roman" w:cs="Times New Roman"/>
          <w:sz w:val="28"/>
          <w:szCs w:val="28"/>
        </w:rPr>
        <w:t>Трансэкспедиция</w:t>
      </w:r>
      <w:proofErr w:type="spellEnd"/>
      <w:r w:rsidRPr="00151020">
        <w:rPr>
          <w:rFonts w:ascii="Times New Roman" w:hAnsi="Times New Roman" w:cs="Times New Roman"/>
          <w:sz w:val="28"/>
          <w:szCs w:val="28"/>
        </w:rPr>
        <w:t>» (транспортные перевозки), Департамент культуры АТМР и Департамент образования АДМР, статистика, центр занятости населения, фонд социального страхования, пенсионный фонд.</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3) Направлено письмо ООО «Люкс ТВ» (кабельное телевидение) с просьбой трансляции информационного ролика,</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lastRenderedPageBreak/>
        <w:t xml:space="preserve">4) Публикация информации о сроках и способах оплаты в </w:t>
      </w:r>
      <w:proofErr w:type="spellStart"/>
      <w:r w:rsidRPr="00151020">
        <w:rPr>
          <w:rFonts w:ascii="Times New Roman" w:hAnsi="Times New Roman" w:cs="Times New Roman"/>
          <w:sz w:val="28"/>
          <w:szCs w:val="28"/>
        </w:rPr>
        <w:t>Тутаевской</w:t>
      </w:r>
      <w:proofErr w:type="spellEnd"/>
      <w:r w:rsidRPr="00151020">
        <w:rPr>
          <w:rFonts w:ascii="Times New Roman" w:hAnsi="Times New Roman" w:cs="Times New Roman"/>
          <w:sz w:val="28"/>
          <w:szCs w:val="28"/>
        </w:rPr>
        <w:t xml:space="preserve"> массовой муниципальной газете «Берега»,</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5) Размещение информационной листовки в популярных группах (местных) в социальных сетях,</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6) Размещение информационного баннера на электронном табло у градообразующего предприятия города ОАО «ТМЗ»,</w:t>
      </w:r>
    </w:p>
    <w:p w:rsidR="00151020" w:rsidRPr="00151020" w:rsidRDefault="00151020" w:rsidP="00151020">
      <w:pPr>
        <w:ind w:right="-108"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7) Размещение ролика (социальная реклама) в социальных сетях (группа БЕРЕГА </w:t>
      </w:r>
      <w:r w:rsidRPr="00151020">
        <w:rPr>
          <w:rFonts w:ascii="Times New Roman" w:hAnsi="Times New Roman" w:cs="Times New Roman"/>
          <w:sz w:val="28"/>
          <w:szCs w:val="28"/>
          <w:lang w:val="en-US"/>
        </w:rPr>
        <w:t>online</w:t>
      </w:r>
      <w:r w:rsidRPr="00151020">
        <w:rPr>
          <w:rFonts w:ascii="Times New Roman" w:hAnsi="Times New Roman" w:cs="Times New Roman"/>
          <w:sz w:val="28"/>
          <w:szCs w:val="28"/>
        </w:rPr>
        <w:t>).</w:t>
      </w:r>
    </w:p>
    <w:p w:rsidR="00151020" w:rsidRP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t>За 2019 год проведено 39 рейдовых мероприятий, проверено 210 объектов. Выявлено 925 работников, с которыми не заключены трудовые договоры. 494 чел. впоследствии трудоустроено. Плановый показатель на 2019 год – 354 чел. выполнен на 139,5%.</w:t>
      </w:r>
    </w:p>
    <w:p w:rsidR="00151020" w:rsidRPr="00151020" w:rsidRDefault="00151020" w:rsidP="00151020">
      <w:pPr>
        <w:tabs>
          <w:tab w:val="left" w:pos="3705"/>
        </w:tabs>
        <w:ind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В отношении должников по арендным платежам за муниципальное имущество и землю проводилась </w:t>
      </w:r>
      <w:proofErr w:type="spellStart"/>
      <w:r w:rsidRPr="00151020">
        <w:rPr>
          <w:rFonts w:ascii="Times New Roman" w:hAnsi="Times New Roman" w:cs="Times New Roman"/>
          <w:sz w:val="28"/>
          <w:szCs w:val="28"/>
        </w:rPr>
        <w:t>претензионно</w:t>
      </w:r>
      <w:proofErr w:type="spellEnd"/>
      <w:r w:rsidRPr="00151020">
        <w:rPr>
          <w:rFonts w:ascii="Times New Roman" w:hAnsi="Times New Roman" w:cs="Times New Roman"/>
          <w:sz w:val="28"/>
          <w:szCs w:val="28"/>
        </w:rPr>
        <w:t xml:space="preserve"> – исковая работа. За 2019 год направлено 60 претензий, общая сумма по направленным претензиям:</w:t>
      </w:r>
    </w:p>
    <w:p w:rsidR="00151020" w:rsidRPr="00151020" w:rsidRDefault="00151020" w:rsidP="00151020">
      <w:pPr>
        <w:tabs>
          <w:tab w:val="left" w:pos="3705"/>
        </w:tabs>
        <w:ind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 </w:t>
      </w:r>
      <w:proofErr w:type="gramStart"/>
      <w:r w:rsidRPr="00151020">
        <w:rPr>
          <w:rFonts w:ascii="Times New Roman" w:hAnsi="Times New Roman" w:cs="Times New Roman"/>
          <w:sz w:val="28"/>
          <w:szCs w:val="28"/>
        </w:rPr>
        <w:t>аренда  недвижимого</w:t>
      </w:r>
      <w:proofErr w:type="gramEnd"/>
      <w:r w:rsidRPr="00151020">
        <w:rPr>
          <w:rFonts w:ascii="Times New Roman" w:hAnsi="Times New Roman" w:cs="Times New Roman"/>
          <w:sz w:val="28"/>
          <w:szCs w:val="28"/>
        </w:rPr>
        <w:t xml:space="preserve"> имущества (движимое/недвижимое) 13231,1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w:t>
      </w:r>
    </w:p>
    <w:p w:rsidR="00151020" w:rsidRPr="00151020" w:rsidRDefault="00151020" w:rsidP="00151020">
      <w:pPr>
        <w:tabs>
          <w:tab w:val="left" w:pos="3705"/>
        </w:tabs>
        <w:ind w:firstLine="709"/>
        <w:jc w:val="both"/>
        <w:rPr>
          <w:rFonts w:ascii="Times New Roman" w:hAnsi="Times New Roman" w:cs="Times New Roman"/>
          <w:sz w:val="28"/>
          <w:szCs w:val="28"/>
        </w:rPr>
      </w:pPr>
      <w:r w:rsidRPr="00151020">
        <w:rPr>
          <w:rFonts w:ascii="Times New Roman" w:hAnsi="Times New Roman" w:cs="Times New Roman"/>
          <w:sz w:val="28"/>
          <w:szCs w:val="28"/>
        </w:rPr>
        <w:t xml:space="preserve">- аренда земельных участков 22121,9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 xml:space="preserve">. Количество поданных исковых заявлений за отчетный период по </w:t>
      </w:r>
      <w:proofErr w:type="gramStart"/>
      <w:r w:rsidRPr="00151020">
        <w:rPr>
          <w:rFonts w:ascii="Times New Roman" w:hAnsi="Times New Roman" w:cs="Times New Roman"/>
          <w:sz w:val="28"/>
          <w:szCs w:val="28"/>
        </w:rPr>
        <w:t>аренде  имущества</w:t>
      </w:r>
      <w:proofErr w:type="gramEnd"/>
      <w:r w:rsidRPr="00151020">
        <w:rPr>
          <w:rFonts w:ascii="Times New Roman" w:hAnsi="Times New Roman" w:cs="Times New Roman"/>
          <w:sz w:val="28"/>
          <w:szCs w:val="28"/>
        </w:rPr>
        <w:t xml:space="preserve"> (движимое/недвижимое) 5 шт., аренде земельных участков 43 шт. Сумма задолженности, взысканная по решению суда  837,9 </w:t>
      </w:r>
      <w:proofErr w:type="spellStart"/>
      <w:r w:rsidRPr="00151020">
        <w:rPr>
          <w:rFonts w:ascii="Times New Roman" w:hAnsi="Times New Roman" w:cs="Times New Roman"/>
          <w:sz w:val="28"/>
          <w:szCs w:val="28"/>
        </w:rPr>
        <w:t>тыс.руб</w:t>
      </w:r>
      <w:proofErr w:type="spellEnd"/>
      <w:r w:rsidRPr="00151020">
        <w:rPr>
          <w:rFonts w:ascii="Times New Roman" w:hAnsi="Times New Roman" w:cs="Times New Roman"/>
          <w:sz w:val="28"/>
          <w:szCs w:val="28"/>
        </w:rPr>
        <w:t>.</w:t>
      </w:r>
    </w:p>
    <w:p w:rsidR="00151020" w:rsidRPr="00151020" w:rsidRDefault="00151020" w:rsidP="00151020">
      <w:pPr>
        <w:ind w:right="175" w:firstLine="709"/>
        <w:jc w:val="both"/>
        <w:rPr>
          <w:rFonts w:ascii="Times New Roman" w:hAnsi="Times New Roman" w:cs="Times New Roman"/>
          <w:sz w:val="28"/>
          <w:szCs w:val="28"/>
        </w:rPr>
      </w:pPr>
      <w:r w:rsidRPr="00151020">
        <w:rPr>
          <w:rFonts w:ascii="Times New Roman" w:hAnsi="Times New Roman" w:cs="Times New Roman"/>
          <w:bCs/>
          <w:sz w:val="28"/>
          <w:szCs w:val="28"/>
        </w:rPr>
        <w:t>Постановлением Администрации ТМР от 19.03.2018г. №152-п создана рабочая группа по работе с инвесторами.</w:t>
      </w:r>
    </w:p>
    <w:p w:rsidR="00151020" w:rsidRPr="00151020" w:rsidRDefault="00151020" w:rsidP="00151020">
      <w:pPr>
        <w:ind w:right="175" w:firstLine="709"/>
        <w:jc w:val="both"/>
        <w:rPr>
          <w:rFonts w:ascii="Times New Roman" w:hAnsi="Times New Roman" w:cs="Times New Roman"/>
          <w:bCs/>
          <w:sz w:val="28"/>
          <w:szCs w:val="28"/>
        </w:rPr>
      </w:pPr>
      <w:r w:rsidRPr="00151020">
        <w:rPr>
          <w:rFonts w:ascii="Times New Roman" w:hAnsi="Times New Roman" w:cs="Times New Roman"/>
          <w:bCs/>
          <w:sz w:val="28"/>
          <w:szCs w:val="28"/>
        </w:rPr>
        <w:t>По состоянию на 31.12.2019 статус резидента ТОСЭР Тутаев получили:</w:t>
      </w:r>
    </w:p>
    <w:p w:rsidR="00151020" w:rsidRPr="00151020" w:rsidRDefault="00151020" w:rsidP="00151020">
      <w:pPr>
        <w:pStyle w:val="a8"/>
        <w:numPr>
          <w:ilvl w:val="0"/>
          <w:numId w:val="2"/>
        </w:numPr>
        <w:spacing w:after="0" w:line="240" w:lineRule="auto"/>
        <w:ind w:left="0" w:right="175" w:firstLine="709"/>
        <w:jc w:val="both"/>
        <w:rPr>
          <w:rFonts w:ascii="Times New Roman" w:hAnsi="Times New Roman" w:cs="Times New Roman"/>
          <w:sz w:val="28"/>
          <w:szCs w:val="28"/>
        </w:rPr>
      </w:pPr>
      <w:r w:rsidRPr="00151020">
        <w:rPr>
          <w:rFonts w:ascii="Times New Roman" w:hAnsi="Times New Roman" w:cs="Times New Roman"/>
          <w:sz w:val="28"/>
          <w:szCs w:val="28"/>
        </w:rPr>
        <w:t>ООО «СПТК АРМТТ»,</w:t>
      </w:r>
    </w:p>
    <w:p w:rsidR="00151020" w:rsidRPr="00151020" w:rsidRDefault="00151020" w:rsidP="00151020">
      <w:pPr>
        <w:pStyle w:val="a8"/>
        <w:numPr>
          <w:ilvl w:val="0"/>
          <w:numId w:val="2"/>
        </w:numPr>
        <w:spacing w:after="0" w:line="240" w:lineRule="auto"/>
        <w:ind w:left="0" w:right="175" w:firstLine="709"/>
        <w:jc w:val="both"/>
        <w:rPr>
          <w:rFonts w:ascii="Times New Roman" w:hAnsi="Times New Roman" w:cs="Times New Roman"/>
          <w:sz w:val="28"/>
          <w:szCs w:val="28"/>
        </w:rPr>
      </w:pPr>
      <w:r w:rsidRPr="00151020">
        <w:rPr>
          <w:rFonts w:ascii="Times New Roman" w:hAnsi="Times New Roman" w:cs="Times New Roman"/>
          <w:sz w:val="28"/>
          <w:szCs w:val="28"/>
        </w:rPr>
        <w:t>ООО «Волга-Полимер»,</w:t>
      </w:r>
    </w:p>
    <w:p w:rsidR="00151020" w:rsidRPr="00151020" w:rsidRDefault="00151020" w:rsidP="00151020">
      <w:pPr>
        <w:pStyle w:val="a8"/>
        <w:numPr>
          <w:ilvl w:val="0"/>
          <w:numId w:val="2"/>
        </w:numPr>
        <w:spacing w:after="0" w:line="240" w:lineRule="auto"/>
        <w:ind w:left="0" w:right="175" w:firstLine="709"/>
        <w:jc w:val="both"/>
        <w:rPr>
          <w:rFonts w:ascii="Times New Roman" w:hAnsi="Times New Roman" w:cs="Times New Roman"/>
          <w:sz w:val="28"/>
          <w:szCs w:val="28"/>
        </w:rPr>
      </w:pPr>
      <w:r w:rsidRPr="00151020">
        <w:rPr>
          <w:rFonts w:ascii="Times New Roman" w:hAnsi="Times New Roman" w:cs="Times New Roman"/>
          <w:sz w:val="28"/>
          <w:szCs w:val="28"/>
        </w:rPr>
        <w:t>ООО «Интеллект-М»,</w:t>
      </w:r>
    </w:p>
    <w:p w:rsidR="00151020" w:rsidRPr="00151020" w:rsidRDefault="00151020" w:rsidP="00151020">
      <w:pPr>
        <w:pStyle w:val="a8"/>
        <w:numPr>
          <w:ilvl w:val="0"/>
          <w:numId w:val="2"/>
        </w:numPr>
        <w:spacing w:after="0" w:line="240" w:lineRule="auto"/>
        <w:ind w:left="0" w:right="175" w:firstLine="709"/>
        <w:jc w:val="both"/>
        <w:rPr>
          <w:rFonts w:ascii="Times New Roman" w:hAnsi="Times New Roman" w:cs="Times New Roman"/>
          <w:sz w:val="28"/>
          <w:szCs w:val="28"/>
        </w:rPr>
      </w:pPr>
      <w:r w:rsidRPr="00151020">
        <w:rPr>
          <w:rFonts w:ascii="Times New Roman" w:hAnsi="Times New Roman" w:cs="Times New Roman"/>
          <w:sz w:val="28"/>
          <w:szCs w:val="28"/>
        </w:rPr>
        <w:t>ООО «Передовая энергетика»,</w:t>
      </w:r>
    </w:p>
    <w:p w:rsidR="00151020" w:rsidRPr="00151020" w:rsidRDefault="00151020" w:rsidP="00151020">
      <w:pPr>
        <w:pStyle w:val="a8"/>
        <w:numPr>
          <w:ilvl w:val="0"/>
          <w:numId w:val="2"/>
        </w:numPr>
        <w:spacing w:after="0" w:line="240" w:lineRule="auto"/>
        <w:ind w:left="0" w:right="175" w:firstLine="709"/>
        <w:jc w:val="both"/>
        <w:rPr>
          <w:rFonts w:ascii="Times New Roman" w:hAnsi="Times New Roman" w:cs="Times New Roman"/>
          <w:sz w:val="28"/>
          <w:szCs w:val="28"/>
        </w:rPr>
      </w:pPr>
      <w:r w:rsidRPr="00151020">
        <w:rPr>
          <w:rFonts w:ascii="Times New Roman" w:hAnsi="Times New Roman" w:cs="Times New Roman"/>
          <w:sz w:val="28"/>
          <w:szCs w:val="28"/>
        </w:rPr>
        <w:t>ООО «</w:t>
      </w:r>
      <w:proofErr w:type="spellStart"/>
      <w:r w:rsidRPr="00151020">
        <w:rPr>
          <w:rFonts w:ascii="Times New Roman" w:hAnsi="Times New Roman" w:cs="Times New Roman"/>
          <w:sz w:val="28"/>
          <w:szCs w:val="28"/>
        </w:rPr>
        <w:t>Главсорбент</w:t>
      </w:r>
      <w:proofErr w:type="spellEnd"/>
      <w:r w:rsidRPr="00151020">
        <w:rPr>
          <w:rFonts w:ascii="Times New Roman" w:hAnsi="Times New Roman" w:cs="Times New Roman"/>
          <w:sz w:val="28"/>
          <w:szCs w:val="28"/>
        </w:rPr>
        <w:t>»,</w:t>
      </w:r>
    </w:p>
    <w:p w:rsidR="00151020" w:rsidRPr="00151020" w:rsidRDefault="00151020" w:rsidP="00151020">
      <w:pPr>
        <w:pStyle w:val="a8"/>
        <w:numPr>
          <w:ilvl w:val="0"/>
          <w:numId w:val="2"/>
        </w:numPr>
        <w:spacing w:after="0" w:line="240" w:lineRule="auto"/>
        <w:ind w:left="0" w:right="175" w:firstLine="709"/>
        <w:jc w:val="both"/>
        <w:rPr>
          <w:rFonts w:ascii="Times New Roman" w:hAnsi="Times New Roman" w:cs="Times New Roman"/>
          <w:sz w:val="28"/>
          <w:szCs w:val="28"/>
        </w:rPr>
      </w:pPr>
      <w:r w:rsidRPr="00151020">
        <w:rPr>
          <w:rFonts w:ascii="Times New Roman" w:hAnsi="Times New Roman" w:cs="Times New Roman"/>
          <w:sz w:val="28"/>
          <w:szCs w:val="28"/>
        </w:rPr>
        <w:t>ООО «Феникс+»,</w:t>
      </w:r>
    </w:p>
    <w:p w:rsidR="00151020" w:rsidRPr="00151020" w:rsidRDefault="00151020" w:rsidP="00151020">
      <w:pPr>
        <w:pStyle w:val="a8"/>
        <w:numPr>
          <w:ilvl w:val="0"/>
          <w:numId w:val="2"/>
        </w:numPr>
        <w:spacing w:after="0" w:line="240" w:lineRule="auto"/>
        <w:ind w:left="0" w:right="175" w:firstLine="709"/>
        <w:jc w:val="both"/>
        <w:rPr>
          <w:rFonts w:ascii="Times New Roman" w:hAnsi="Times New Roman" w:cs="Times New Roman"/>
          <w:sz w:val="28"/>
          <w:szCs w:val="28"/>
        </w:rPr>
      </w:pPr>
      <w:r w:rsidRPr="00151020">
        <w:rPr>
          <w:rFonts w:ascii="Times New Roman" w:hAnsi="Times New Roman" w:cs="Times New Roman"/>
          <w:sz w:val="28"/>
          <w:szCs w:val="28"/>
        </w:rPr>
        <w:t>ООО «ПСМ Прайм»,</w:t>
      </w:r>
    </w:p>
    <w:p w:rsidR="00151020" w:rsidRPr="00151020" w:rsidRDefault="00151020" w:rsidP="00151020">
      <w:pPr>
        <w:pStyle w:val="a8"/>
        <w:numPr>
          <w:ilvl w:val="0"/>
          <w:numId w:val="2"/>
        </w:numPr>
        <w:spacing w:after="0" w:line="240" w:lineRule="auto"/>
        <w:ind w:left="0" w:right="175" w:firstLine="709"/>
        <w:jc w:val="both"/>
        <w:rPr>
          <w:rFonts w:ascii="Times New Roman" w:hAnsi="Times New Roman" w:cs="Times New Roman"/>
          <w:sz w:val="28"/>
          <w:szCs w:val="28"/>
        </w:rPr>
      </w:pPr>
      <w:r w:rsidRPr="00151020">
        <w:rPr>
          <w:rFonts w:ascii="Times New Roman" w:hAnsi="Times New Roman" w:cs="Times New Roman"/>
          <w:sz w:val="28"/>
          <w:szCs w:val="28"/>
        </w:rPr>
        <w:t>ООО «</w:t>
      </w:r>
      <w:proofErr w:type="spellStart"/>
      <w:r w:rsidRPr="00151020">
        <w:rPr>
          <w:rFonts w:ascii="Times New Roman" w:hAnsi="Times New Roman" w:cs="Times New Roman"/>
          <w:sz w:val="28"/>
          <w:szCs w:val="28"/>
        </w:rPr>
        <w:t>Айсберри</w:t>
      </w:r>
      <w:proofErr w:type="spellEnd"/>
      <w:r w:rsidRPr="00151020">
        <w:rPr>
          <w:rFonts w:ascii="Times New Roman" w:hAnsi="Times New Roman" w:cs="Times New Roman"/>
          <w:sz w:val="28"/>
          <w:szCs w:val="28"/>
        </w:rPr>
        <w:t xml:space="preserve"> ФМ»,</w:t>
      </w:r>
    </w:p>
    <w:p w:rsidR="00151020" w:rsidRPr="00151020" w:rsidRDefault="00151020" w:rsidP="00151020">
      <w:pPr>
        <w:numPr>
          <w:ilvl w:val="0"/>
          <w:numId w:val="2"/>
        </w:numPr>
        <w:spacing w:after="0" w:line="240" w:lineRule="auto"/>
        <w:ind w:left="0" w:firstLine="709"/>
        <w:jc w:val="both"/>
        <w:rPr>
          <w:rFonts w:ascii="Times New Roman" w:hAnsi="Times New Roman" w:cs="Times New Roman"/>
          <w:sz w:val="28"/>
          <w:szCs w:val="28"/>
        </w:rPr>
      </w:pPr>
      <w:r w:rsidRPr="00151020">
        <w:rPr>
          <w:rFonts w:ascii="Times New Roman" w:hAnsi="Times New Roman" w:cs="Times New Roman"/>
          <w:sz w:val="28"/>
          <w:szCs w:val="28"/>
        </w:rPr>
        <w:t>ООО «КАМАЗ-ВЕЙЧАЙ».</w:t>
      </w:r>
    </w:p>
    <w:p w:rsidR="00151020" w:rsidRDefault="00151020" w:rsidP="00151020">
      <w:pPr>
        <w:ind w:firstLine="709"/>
        <w:jc w:val="both"/>
        <w:rPr>
          <w:rFonts w:ascii="Times New Roman" w:hAnsi="Times New Roman" w:cs="Times New Roman"/>
          <w:sz w:val="28"/>
          <w:szCs w:val="28"/>
        </w:rPr>
      </w:pPr>
      <w:r w:rsidRPr="00151020">
        <w:rPr>
          <w:rFonts w:ascii="Times New Roman" w:hAnsi="Times New Roman" w:cs="Times New Roman"/>
          <w:sz w:val="28"/>
          <w:szCs w:val="28"/>
        </w:rPr>
        <w:lastRenderedPageBreak/>
        <w:t xml:space="preserve">За 2019 год прошли обучение 513 человек, в том числе муниципальных служащих 54 человека. </w:t>
      </w:r>
    </w:p>
    <w:p w:rsidR="00346850" w:rsidRPr="00346850" w:rsidRDefault="00346850" w:rsidP="00346850">
      <w:pPr>
        <w:ind w:firstLine="709"/>
        <w:jc w:val="both"/>
        <w:rPr>
          <w:rFonts w:ascii="Times New Roman" w:eastAsia="Arial" w:hAnsi="Times New Roman" w:cs="Times New Roman"/>
          <w:sz w:val="28"/>
          <w:szCs w:val="28"/>
        </w:rPr>
      </w:pPr>
      <w:r w:rsidRPr="00346850">
        <w:rPr>
          <w:rFonts w:ascii="Times New Roman" w:eastAsia="Arial" w:hAnsi="Times New Roman" w:cs="Times New Roman"/>
          <w:sz w:val="28"/>
          <w:szCs w:val="28"/>
        </w:rPr>
        <w:t>Кредиторская задолженность на 01.01.2020 года составляет   86 681 846,09 руб., в т.ч. просроченная -768 755,00 руб. Снижение уровня кредиторской задолженности по сравнению с 01.01.2019 года составляет 3 637 565,88 руб., в т.ч. просроченная кредиторская задолженность уменьшилась на 6 338 258,</w:t>
      </w:r>
      <w:proofErr w:type="gramStart"/>
      <w:r w:rsidRPr="00346850">
        <w:rPr>
          <w:rFonts w:ascii="Times New Roman" w:eastAsia="Arial" w:hAnsi="Times New Roman" w:cs="Times New Roman"/>
          <w:sz w:val="28"/>
          <w:szCs w:val="28"/>
        </w:rPr>
        <w:t>33  руб.</w:t>
      </w:r>
      <w:proofErr w:type="gramEnd"/>
      <w:r w:rsidRPr="00346850">
        <w:rPr>
          <w:rFonts w:ascii="Times New Roman" w:eastAsia="Arial" w:hAnsi="Times New Roman" w:cs="Times New Roman"/>
          <w:sz w:val="28"/>
          <w:szCs w:val="28"/>
        </w:rPr>
        <w:t xml:space="preserve">   </w:t>
      </w:r>
      <w:bookmarkStart w:id="0" w:name="_GoBack"/>
      <w:bookmarkEnd w:id="0"/>
    </w:p>
    <w:p w:rsidR="00346850" w:rsidRPr="00346850" w:rsidRDefault="00346850" w:rsidP="00346850">
      <w:pPr>
        <w:ind w:firstLine="709"/>
        <w:jc w:val="both"/>
        <w:rPr>
          <w:rFonts w:ascii="Times New Roman" w:eastAsia="Arial" w:hAnsi="Times New Roman" w:cs="Times New Roman"/>
          <w:sz w:val="28"/>
          <w:szCs w:val="28"/>
        </w:rPr>
      </w:pPr>
      <w:r w:rsidRPr="00346850">
        <w:rPr>
          <w:rFonts w:ascii="Times New Roman" w:eastAsia="Arial" w:hAnsi="Times New Roman" w:cs="Times New Roman"/>
          <w:sz w:val="28"/>
          <w:szCs w:val="28"/>
        </w:rPr>
        <w:t>Муниципальный долг районного бюджета на 01.01.2019 года составлял 1 250 000 рублей (бюджетный кредит), полностью погашен в 2019 году. Новых кредитов в 2019 году в бюджет муниципального района не</w:t>
      </w:r>
      <w:r w:rsidRPr="00346850">
        <w:rPr>
          <w:rFonts w:ascii="Times New Roman" w:eastAsia="Arial" w:hAnsi="Times New Roman" w:cs="Times New Roman"/>
          <w:sz w:val="28"/>
          <w:szCs w:val="28"/>
        </w:rPr>
        <w:t xml:space="preserve"> </w:t>
      </w:r>
      <w:r w:rsidRPr="00346850">
        <w:rPr>
          <w:rFonts w:ascii="Times New Roman" w:eastAsia="Arial" w:hAnsi="Times New Roman" w:cs="Times New Roman"/>
          <w:sz w:val="28"/>
          <w:szCs w:val="28"/>
        </w:rPr>
        <w:t xml:space="preserve">привлекалось. Муниципальный долг районного бюджета по состоянию на 01.01.2019 отсутствует.       </w:t>
      </w:r>
    </w:p>
    <w:p w:rsidR="00346850" w:rsidRPr="00151020" w:rsidRDefault="00346850" w:rsidP="00151020">
      <w:pPr>
        <w:ind w:firstLine="709"/>
        <w:jc w:val="both"/>
        <w:rPr>
          <w:rFonts w:ascii="Times New Roman" w:hAnsi="Times New Roman" w:cs="Times New Roman"/>
          <w:color w:val="FF0000"/>
          <w:sz w:val="28"/>
          <w:szCs w:val="28"/>
        </w:rPr>
      </w:pPr>
    </w:p>
    <w:p w:rsidR="00E77D94" w:rsidRPr="002D683B" w:rsidRDefault="00E77D94" w:rsidP="00E77D94">
      <w:pPr>
        <w:ind w:firstLine="743"/>
        <w:jc w:val="both"/>
        <w:rPr>
          <w:color w:val="000000"/>
          <w:sz w:val="28"/>
          <w:szCs w:val="28"/>
        </w:rPr>
      </w:pPr>
    </w:p>
    <w:p w:rsidR="00E77D94" w:rsidRDefault="00E77D94" w:rsidP="00E77D94">
      <w:pPr>
        <w:overflowPunct w:val="0"/>
        <w:autoSpaceDE w:val="0"/>
        <w:autoSpaceDN w:val="0"/>
        <w:adjustRightInd w:val="0"/>
        <w:spacing w:line="20" w:lineRule="atLeast"/>
        <w:jc w:val="both"/>
        <w:textAlignment w:val="baseline"/>
        <w:rPr>
          <w:b/>
          <w:sz w:val="36"/>
          <w:szCs w:val="36"/>
        </w:rPr>
      </w:pPr>
    </w:p>
    <w:p w:rsidR="004A7A13" w:rsidRPr="00395704" w:rsidRDefault="004A7A13" w:rsidP="004A7A13">
      <w:pPr>
        <w:jc w:val="center"/>
        <w:rPr>
          <w:color w:val="000000"/>
        </w:rPr>
      </w:pPr>
    </w:p>
    <w:p w:rsidR="004A7A13" w:rsidRPr="0050232F" w:rsidRDefault="004A7A13" w:rsidP="0050232F">
      <w:pPr>
        <w:spacing w:after="0" w:line="240" w:lineRule="auto"/>
        <w:ind w:firstLine="249"/>
        <w:jc w:val="center"/>
        <w:rPr>
          <w:rFonts w:ascii="Times New Roman" w:eastAsia="Times New Roman" w:hAnsi="Times New Roman" w:cs="Times New Roman"/>
          <w:sz w:val="32"/>
          <w:szCs w:val="32"/>
          <w:lang w:eastAsia="ru-RU"/>
        </w:rPr>
      </w:pPr>
    </w:p>
    <w:sectPr w:rsidR="004A7A13" w:rsidRPr="0050232F" w:rsidSect="0045542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DF1" w:rsidRDefault="00160DF1" w:rsidP="00CB0157">
      <w:pPr>
        <w:spacing w:after="0" w:line="240" w:lineRule="auto"/>
      </w:pPr>
      <w:r>
        <w:separator/>
      </w:r>
    </w:p>
  </w:endnote>
  <w:endnote w:type="continuationSeparator" w:id="0">
    <w:p w:rsidR="00160DF1" w:rsidRDefault="00160DF1" w:rsidP="00CB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DF1" w:rsidRDefault="00160DF1" w:rsidP="00CB0157">
      <w:pPr>
        <w:spacing w:after="0" w:line="240" w:lineRule="auto"/>
      </w:pPr>
      <w:r>
        <w:separator/>
      </w:r>
    </w:p>
  </w:footnote>
  <w:footnote w:type="continuationSeparator" w:id="0">
    <w:p w:rsidR="00160DF1" w:rsidRDefault="00160DF1" w:rsidP="00CB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2931"/>
      <w:docPartObj>
        <w:docPartGallery w:val="Page Numbers (Top of Page)"/>
        <w:docPartUnique/>
      </w:docPartObj>
    </w:sdtPr>
    <w:sdtEndPr/>
    <w:sdtContent>
      <w:p w:rsidR="0073709F" w:rsidRDefault="008B6442">
        <w:pPr>
          <w:pStyle w:val="a4"/>
          <w:jc w:val="right"/>
        </w:pPr>
        <w:r>
          <w:fldChar w:fldCharType="begin"/>
        </w:r>
        <w:r>
          <w:instrText xml:space="preserve"> PAGE   \* MERGEFORMAT </w:instrText>
        </w:r>
        <w:r>
          <w:fldChar w:fldCharType="separate"/>
        </w:r>
        <w:r w:rsidR="00A62AD6">
          <w:rPr>
            <w:noProof/>
          </w:rPr>
          <w:t>1</w:t>
        </w:r>
        <w:r>
          <w:rPr>
            <w:noProof/>
          </w:rPr>
          <w:fldChar w:fldCharType="end"/>
        </w:r>
      </w:p>
    </w:sdtContent>
  </w:sdt>
  <w:p w:rsidR="0073709F" w:rsidRDefault="007370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277C1"/>
    <w:multiLevelType w:val="hybridMultilevel"/>
    <w:tmpl w:val="1CFC55F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E2735A"/>
    <w:multiLevelType w:val="hybridMultilevel"/>
    <w:tmpl w:val="30EAEC9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0F"/>
    <w:rsid w:val="00005FF3"/>
    <w:rsid w:val="0001640C"/>
    <w:rsid w:val="000225B1"/>
    <w:rsid w:val="00023C28"/>
    <w:rsid w:val="00024C2D"/>
    <w:rsid w:val="000266D7"/>
    <w:rsid w:val="00027A9B"/>
    <w:rsid w:val="000345BF"/>
    <w:rsid w:val="00043304"/>
    <w:rsid w:val="0004492A"/>
    <w:rsid w:val="0005234B"/>
    <w:rsid w:val="0005696F"/>
    <w:rsid w:val="000578AE"/>
    <w:rsid w:val="00061183"/>
    <w:rsid w:val="0006208C"/>
    <w:rsid w:val="00070A15"/>
    <w:rsid w:val="000741CD"/>
    <w:rsid w:val="00082CB8"/>
    <w:rsid w:val="00082E6B"/>
    <w:rsid w:val="00094EE8"/>
    <w:rsid w:val="000A46CD"/>
    <w:rsid w:val="000B3934"/>
    <w:rsid w:val="000C6AD1"/>
    <w:rsid w:val="000D1EB9"/>
    <w:rsid w:val="000D3BFE"/>
    <w:rsid w:val="000D59E4"/>
    <w:rsid w:val="000E41AF"/>
    <w:rsid w:val="000E425F"/>
    <w:rsid w:val="000E5BD1"/>
    <w:rsid w:val="000F3323"/>
    <w:rsid w:val="00100A4F"/>
    <w:rsid w:val="00103A55"/>
    <w:rsid w:val="0011332C"/>
    <w:rsid w:val="00126504"/>
    <w:rsid w:val="00131E3B"/>
    <w:rsid w:val="00143D64"/>
    <w:rsid w:val="00151020"/>
    <w:rsid w:val="001608F2"/>
    <w:rsid w:val="00160DF1"/>
    <w:rsid w:val="0016271F"/>
    <w:rsid w:val="00167D46"/>
    <w:rsid w:val="00172D07"/>
    <w:rsid w:val="00181733"/>
    <w:rsid w:val="00183324"/>
    <w:rsid w:val="00184AB1"/>
    <w:rsid w:val="00185A7E"/>
    <w:rsid w:val="001958E2"/>
    <w:rsid w:val="001A2553"/>
    <w:rsid w:val="001C00C6"/>
    <w:rsid w:val="001C0123"/>
    <w:rsid w:val="001C088F"/>
    <w:rsid w:val="001C0CF5"/>
    <w:rsid w:val="001C4BC1"/>
    <w:rsid w:val="001C6C45"/>
    <w:rsid w:val="001E186A"/>
    <w:rsid w:val="001E2A78"/>
    <w:rsid w:val="001E3A1E"/>
    <w:rsid w:val="001E4D53"/>
    <w:rsid w:val="001F5EB0"/>
    <w:rsid w:val="001F6F77"/>
    <w:rsid w:val="001F78A6"/>
    <w:rsid w:val="002147EB"/>
    <w:rsid w:val="0022792F"/>
    <w:rsid w:val="0023189C"/>
    <w:rsid w:val="00236DF7"/>
    <w:rsid w:val="00237984"/>
    <w:rsid w:val="002411BB"/>
    <w:rsid w:val="00247F97"/>
    <w:rsid w:val="00250D3E"/>
    <w:rsid w:val="002626F2"/>
    <w:rsid w:val="002712A8"/>
    <w:rsid w:val="00271847"/>
    <w:rsid w:val="00274299"/>
    <w:rsid w:val="0028076F"/>
    <w:rsid w:val="0029000D"/>
    <w:rsid w:val="00295970"/>
    <w:rsid w:val="002A5D7A"/>
    <w:rsid w:val="002A6290"/>
    <w:rsid w:val="002B2B2E"/>
    <w:rsid w:val="002C05CA"/>
    <w:rsid w:val="002C1276"/>
    <w:rsid w:val="002C142E"/>
    <w:rsid w:val="002D190D"/>
    <w:rsid w:val="002D2987"/>
    <w:rsid w:val="0030263A"/>
    <w:rsid w:val="00304F47"/>
    <w:rsid w:val="00305AF0"/>
    <w:rsid w:val="00307C6E"/>
    <w:rsid w:val="003120A1"/>
    <w:rsid w:val="00317326"/>
    <w:rsid w:val="003255AF"/>
    <w:rsid w:val="00326B70"/>
    <w:rsid w:val="0033052B"/>
    <w:rsid w:val="00336ADE"/>
    <w:rsid w:val="00344BD2"/>
    <w:rsid w:val="00346850"/>
    <w:rsid w:val="003607F9"/>
    <w:rsid w:val="00372393"/>
    <w:rsid w:val="003728EA"/>
    <w:rsid w:val="00376B64"/>
    <w:rsid w:val="0038313D"/>
    <w:rsid w:val="003841E8"/>
    <w:rsid w:val="0039146D"/>
    <w:rsid w:val="00392020"/>
    <w:rsid w:val="00397944"/>
    <w:rsid w:val="003A35E9"/>
    <w:rsid w:val="003B02DB"/>
    <w:rsid w:val="003B26D0"/>
    <w:rsid w:val="003B5A3C"/>
    <w:rsid w:val="003B7737"/>
    <w:rsid w:val="003C3001"/>
    <w:rsid w:val="003C4CF2"/>
    <w:rsid w:val="003D72DE"/>
    <w:rsid w:val="003E0DC6"/>
    <w:rsid w:val="003E3A24"/>
    <w:rsid w:val="003E3CC7"/>
    <w:rsid w:val="003F544E"/>
    <w:rsid w:val="003F6971"/>
    <w:rsid w:val="004000BA"/>
    <w:rsid w:val="004077FE"/>
    <w:rsid w:val="00411F62"/>
    <w:rsid w:val="00425659"/>
    <w:rsid w:val="00440DEB"/>
    <w:rsid w:val="00447AD5"/>
    <w:rsid w:val="00453439"/>
    <w:rsid w:val="00455429"/>
    <w:rsid w:val="00461202"/>
    <w:rsid w:val="004622C9"/>
    <w:rsid w:val="00470247"/>
    <w:rsid w:val="00476264"/>
    <w:rsid w:val="00476871"/>
    <w:rsid w:val="00482F12"/>
    <w:rsid w:val="00491871"/>
    <w:rsid w:val="004952DA"/>
    <w:rsid w:val="004A04B7"/>
    <w:rsid w:val="004A6277"/>
    <w:rsid w:val="004A7A13"/>
    <w:rsid w:val="004A7DC8"/>
    <w:rsid w:val="004D6387"/>
    <w:rsid w:val="004E11DD"/>
    <w:rsid w:val="004F7FBA"/>
    <w:rsid w:val="0050232F"/>
    <w:rsid w:val="0050470B"/>
    <w:rsid w:val="00504B10"/>
    <w:rsid w:val="005134CF"/>
    <w:rsid w:val="005145F5"/>
    <w:rsid w:val="00515A4C"/>
    <w:rsid w:val="0053159F"/>
    <w:rsid w:val="005325B5"/>
    <w:rsid w:val="00540FA3"/>
    <w:rsid w:val="00551785"/>
    <w:rsid w:val="005543DE"/>
    <w:rsid w:val="00557584"/>
    <w:rsid w:val="00586728"/>
    <w:rsid w:val="005906D2"/>
    <w:rsid w:val="005957F3"/>
    <w:rsid w:val="005A3B28"/>
    <w:rsid w:val="005A3C1F"/>
    <w:rsid w:val="005A419A"/>
    <w:rsid w:val="005A4C13"/>
    <w:rsid w:val="005B583A"/>
    <w:rsid w:val="005C0390"/>
    <w:rsid w:val="005C0C77"/>
    <w:rsid w:val="005C13FA"/>
    <w:rsid w:val="005C701B"/>
    <w:rsid w:val="005D297B"/>
    <w:rsid w:val="005D39AC"/>
    <w:rsid w:val="005D74BE"/>
    <w:rsid w:val="005E0A0F"/>
    <w:rsid w:val="005E6275"/>
    <w:rsid w:val="005F6269"/>
    <w:rsid w:val="006025F3"/>
    <w:rsid w:val="00602768"/>
    <w:rsid w:val="0060294E"/>
    <w:rsid w:val="0060516A"/>
    <w:rsid w:val="006068F1"/>
    <w:rsid w:val="0061146E"/>
    <w:rsid w:val="006115C8"/>
    <w:rsid w:val="00616AB6"/>
    <w:rsid w:val="00620E96"/>
    <w:rsid w:val="006310CB"/>
    <w:rsid w:val="00631D5C"/>
    <w:rsid w:val="00633BEA"/>
    <w:rsid w:val="00642DC5"/>
    <w:rsid w:val="006445C1"/>
    <w:rsid w:val="00647F69"/>
    <w:rsid w:val="006544DF"/>
    <w:rsid w:val="00665DDD"/>
    <w:rsid w:val="00672DDA"/>
    <w:rsid w:val="00677235"/>
    <w:rsid w:val="00680DC7"/>
    <w:rsid w:val="0068427F"/>
    <w:rsid w:val="0068700A"/>
    <w:rsid w:val="00691808"/>
    <w:rsid w:val="006A456E"/>
    <w:rsid w:val="006A4EAC"/>
    <w:rsid w:val="006A7296"/>
    <w:rsid w:val="006B29EB"/>
    <w:rsid w:val="006B3700"/>
    <w:rsid w:val="006B65EF"/>
    <w:rsid w:val="006C33AD"/>
    <w:rsid w:val="006D6862"/>
    <w:rsid w:val="006D71E1"/>
    <w:rsid w:val="006E5A26"/>
    <w:rsid w:val="006F0752"/>
    <w:rsid w:val="006F1A7B"/>
    <w:rsid w:val="006F6F42"/>
    <w:rsid w:val="00704CB7"/>
    <w:rsid w:val="00706D18"/>
    <w:rsid w:val="007121AF"/>
    <w:rsid w:val="00713E8F"/>
    <w:rsid w:val="00716C36"/>
    <w:rsid w:val="00721733"/>
    <w:rsid w:val="00721F7D"/>
    <w:rsid w:val="00727250"/>
    <w:rsid w:val="007342A4"/>
    <w:rsid w:val="00736B56"/>
    <w:rsid w:val="0073709F"/>
    <w:rsid w:val="00744E27"/>
    <w:rsid w:val="0075212E"/>
    <w:rsid w:val="00766EF7"/>
    <w:rsid w:val="00767AC0"/>
    <w:rsid w:val="007705BC"/>
    <w:rsid w:val="0078683B"/>
    <w:rsid w:val="00791B7A"/>
    <w:rsid w:val="007B79B8"/>
    <w:rsid w:val="007C28D6"/>
    <w:rsid w:val="007C5589"/>
    <w:rsid w:val="007D0D61"/>
    <w:rsid w:val="007D7764"/>
    <w:rsid w:val="007E063A"/>
    <w:rsid w:val="007E3C57"/>
    <w:rsid w:val="007F2D22"/>
    <w:rsid w:val="00812031"/>
    <w:rsid w:val="0081630B"/>
    <w:rsid w:val="008208C0"/>
    <w:rsid w:val="00822C92"/>
    <w:rsid w:val="008234DF"/>
    <w:rsid w:val="00831D0A"/>
    <w:rsid w:val="00834083"/>
    <w:rsid w:val="00835979"/>
    <w:rsid w:val="00835B9F"/>
    <w:rsid w:val="00836586"/>
    <w:rsid w:val="00836606"/>
    <w:rsid w:val="00840039"/>
    <w:rsid w:val="00841F84"/>
    <w:rsid w:val="00845CC4"/>
    <w:rsid w:val="00881742"/>
    <w:rsid w:val="0088265F"/>
    <w:rsid w:val="00882681"/>
    <w:rsid w:val="00887912"/>
    <w:rsid w:val="008935EF"/>
    <w:rsid w:val="00897D98"/>
    <w:rsid w:val="008B1C1E"/>
    <w:rsid w:val="008B338E"/>
    <w:rsid w:val="008B6442"/>
    <w:rsid w:val="008C14F1"/>
    <w:rsid w:val="008C21B0"/>
    <w:rsid w:val="008C3FCD"/>
    <w:rsid w:val="008D32E4"/>
    <w:rsid w:val="008D59FA"/>
    <w:rsid w:val="008E105F"/>
    <w:rsid w:val="008E4B8C"/>
    <w:rsid w:val="008F02CA"/>
    <w:rsid w:val="008F07E6"/>
    <w:rsid w:val="00910820"/>
    <w:rsid w:val="00920445"/>
    <w:rsid w:val="00927906"/>
    <w:rsid w:val="009313C6"/>
    <w:rsid w:val="00956214"/>
    <w:rsid w:val="0096165F"/>
    <w:rsid w:val="00961F2B"/>
    <w:rsid w:val="00963A56"/>
    <w:rsid w:val="00966789"/>
    <w:rsid w:val="009709F2"/>
    <w:rsid w:val="00990AFB"/>
    <w:rsid w:val="0099206E"/>
    <w:rsid w:val="009A0F6F"/>
    <w:rsid w:val="009C34E0"/>
    <w:rsid w:val="009C60AC"/>
    <w:rsid w:val="009D261F"/>
    <w:rsid w:val="009F12C8"/>
    <w:rsid w:val="009F4790"/>
    <w:rsid w:val="009F4D1A"/>
    <w:rsid w:val="009F74C3"/>
    <w:rsid w:val="00A04FAF"/>
    <w:rsid w:val="00A30C78"/>
    <w:rsid w:val="00A32ED6"/>
    <w:rsid w:val="00A3306A"/>
    <w:rsid w:val="00A33789"/>
    <w:rsid w:val="00A34CBE"/>
    <w:rsid w:val="00A442BD"/>
    <w:rsid w:val="00A467AC"/>
    <w:rsid w:val="00A56513"/>
    <w:rsid w:val="00A62AD6"/>
    <w:rsid w:val="00A73D64"/>
    <w:rsid w:val="00A777FA"/>
    <w:rsid w:val="00AA38A5"/>
    <w:rsid w:val="00AA6101"/>
    <w:rsid w:val="00AA6A8C"/>
    <w:rsid w:val="00AB55D2"/>
    <w:rsid w:val="00AB6F8A"/>
    <w:rsid w:val="00AC2800"/>
    <w:rsid w:val="00AD27D2"/>
    <w:rsid w:val="00AD6C17"/>
    <w:rsid w:val="00AE1080"/>
    <w:rsid w:val="00AE23BB"/>
    <w:rsid w:val="00AE6284"/>
    <w:rsid w:val="00AE6F92"/>
    <w:rsid w:val="00AE7C63"/>
    <w:rsid w:val="00AF2FA9"/>
    <w:rsid w:val="00AF700F"/>
    <w:rsid w:val="00B00362"/>
    <w:rsid w:val="00B00882"/>
    <w:rsid w:val="00B01F82"/>
    <w:rsid w:val="00B15D31"/>
    <w:rsid w:val="00B16E2B"/>
    <w:rsid w:val="00B51EF3"/>
    <w:rsid w:val="00B573E4"/>
    <w:rsid w:val="00B608BC"/>
    <w:rsid w:val="00B61C74"/>
    <w:rsid w:val="00B62144"/>
    <w:rsid w:val="00B76A0A"/>
    <w:rsid w:val="00B9122A"/>
    <w:rsid w:val="00B94ED2"/>
    <w:rsid w:val="00BA2378"/>
    <w:rsid w:val="00BB14D2"/>
    <w:rsid w:val="00BC7E63"/>
    <w:rsid w:val="00BD483A"/>
    <w:rsid w:val="00BD54FA"/>
    <w:rsid w:val="00BD7ABE"/>
    <w:rsid w:val="00BF1915"/>
    <w:rsid w:val="00C049A4"/>
    <w:rsid w:val="00C04E82"/>
    <w:rsid w:val="00C07330"/>
    <w:rsid w:val="00C07D66"/>
    <w:rsid w:val="00C25E40"/>
    <w:rsid w:val="00C3502A"/>
    <w:rsid w:val="00C54A63"/>
    <w:rsid w:val="00C7132C"/>
    <w:rsid w:val="00C72809"/>
    <w:rsid w:val="00C7633B"/>
    <w:rsid w:val="00C87533"/>
    <w:rsid w:val="00C92DB9"/>
    <w:rsid w:val="00C948DC"/>
    <w:rsid w:val="00CB0157"/>
    <w:rsid w:val="00CB09EE"/>
    <w:rsid w:val="00CB33E2"/>
    <w:rsid w:val="00CD0A8B"/>
    <w:rsid w:val="00CD1698"/>
    <w:rsid w:val="00CD6119"/>
    <w:rsid w:val="00CD6654"/>
    <w:rsid w:val="00D100D3"/>
    <w:rsid w:val="00D20778"/>
    <w:rsid w:val="00D367A2"/>
    <w:rsid w:val="00D36FCA"/>
    <w:rsid w:val="00D3700D"/>
    <w:rsid w:val="00D430C5"/>
    <w:rsid w:val="00D441F1"/>
    <w:rsid w:val="00D66741"/>
    <w:rsid w:val="00D67C4D"/>
    <w:rsid w:val="00D82E59"/>
    <w:rsid w:val="00D85429"/>
    <w:rsid w:val="00D963AC"/>
    <w:rsid w:val="00DA320F"/>
    <w:rsid w:val="00DB17F1"/>
    <w:rsid w:val="00DD029C"/>
    <w:rsid w:val="00DD4E8F"/>
    <w:rsid w:val="00DE4709"/>
    <w:rsid w:val="00DF2EEE"/>
    <w:rsid w:val="00E15178"/>
    <w:rsid w:val="00E543D4"/>
    <w:rsid w:val="00E6198B"/>
    <w:rsid w:val="00E62255"/>
    <w:rsid w:val="00E65753"/>
    <w:rsid w:val="00E67F02"/>
    <w:rsid w:val="00E77D94"/>
    <w:rsid w:val="00E80C34"/>
    <w:rsid w:val="00E8475D"/>
    <w:rsid w:val="00EA130C"/>
    <w:rsid w:val="00EA39B6"/>
    <w:rsid w:val="00EC40AC"/>
    <w:rsid w:val="00ED49F7"/>
    <w:rsid w:val="00EE030D"/>
    <w:rsid w:val="00EF3B77"/>
    <w:rsid w:val="00F049EE"/>
    <w:rsid w:val="00F105D3"/>
    <w:rsid w:val="00F2593C"/>
    <w:rsid w:val="00F417A7"/>
    <w:rsid w:val="00F56C7D"/>
    <w:rsid w:val="00F650FF"/>
    <w:rsid w:val="00F65FEB"/>
    <w:rsid w:val="00F711E1"/>
    <w:rsid w:val="00F74982"/>
    <w:rsid w:val="00F76385"/>
    <w:rsid w:val="00F7711F"/>
    <w:rsid w:val="00F8223C"/>
    <w:rsid w:val="00F852A0"/>
    <w:rsid w:val="00F86342"/>
    <w:rsid w:val="00F87CAA"/>
    <w:rsid w:val="00F928BD"/>
    <w:rsid w:val="00FC41BC"/>
    <w:rsid w:val="00FD1A07"/>
    <w:rsid w:val="00FE0660"/>
    <w:rsid w:val="00FE6514"/>
    <w:rsid w:val="00FF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B159"/>
  <w15:docId w15:val="{97357AB7-F47E-4A74-866F-84ECD170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0A0F"/>
    <w:rPr>
      <w:b/>
      <w:bCs/>
    </w:rPr>
  </w:style>
  <w:style w:type="paragraph" w:styleId="a4">
    <w:name w:val="header"/>
    <w:basedOn w:val="a"/>
    <w:link w:val="a5"/>
    <w:uiPriority w:val="99"/>
    <w:unhideWhenUsed/>
    <w:rsid w:val="00CB01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0157"/>
  </w:style>
  <w:style w:type="paragraph" w:styleId="a6">
    <w:name w:val="footer"/>
    <w:basedOn w:val="a"/>
    <w:link w:val="a7"/>
    <w:uiPriority w:val="99"/>
    <w:semiHidden/>
    <w:unhideWhenUsed/>
    <w:rsid w:val="00CB015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B0157"/>
  </w:style>
  <w:style w:type="paragraph" w:styleId="a8">
    <w:name w:val="List Paragraph"/>
    <w:basedOn w:val="a"/>
    <w:uiPriority w:val="34"/>
    <w:qFormat/>
    <w:rsid w:val="003C4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5055">
      <w:bodyDiv w:val="1"/>
      <w:marLeft w:val="0"/>
      <w:marRight w:val="0"/>
      <w:marTop w:val="0"/>
      <w:marBottom w:val="0"/>
      <w:divBdr>
        <w:top w:val="none" w:sz="0" w:space="0" w:color="auto"/>
        <w:left w:val="none" w:sz="0" w:space="0" w:color="auto"/>
        <w:bottom w:val="none" w:sz="0" w:space="0" w:color="auto"/>
        <w:right w:val="none" w:sz="0" w:space="0" w:color="auto"/>
      </w:divBdr>
      <w:divsChild>
        <w:div w:id="1330719635">
          <w:marLeft w:val="0"/>
          <w:marRight w:val="0"/>
          <w:marTop w:val="0"/>
          <w:marBottom w:val="0"/>
          <w:divBdr>
            <w:top w:val="none" w:sz="0" w:space="0" w:color="auto"/>
            <w:left w:val="none" w:sz="0" w:space="0" w:color="auto"/>
            <w:bottom w:val="none" w:sz="0" w:space="0" w:color="auto"/>
            <w:right w:val="none" w:sz="0" w:space="0" w:color="auto"/>
          </w:divBdr>
          <w:divsChild>
            <w:div w:id="411395251">
              <w:marLeft w:val="0"/>
              <w:marRight w:val="0"/>
              <w:marTop w:val="125"/>
              <w:marBottom w:val="0"/>
              <w:divBdr>
                <w:top w:val="none" w:sz="0" w:space="0" w:color="auto"/>
                <w:left w:val="none" w:sz="0" w:space="0" w:color="auto"/>
                <w:bottom w:val="none" w:sz="0" w:space="0" w:color="auto"/>
                <w:right w:val="none" w:sz="0" w:space="0" w:color="auto"/>
              </w:divBdr>
              <w:divsChild>
                <w:div w:id="1957250063">
                  <w:marLeft w:val="0"/>
                  <w:marRight w:val="0"/>
                  <w:marTop w:val="0"/>
                  <w:marBottom w:val="0"/>
                  <w:divBdr>
                    <w:top w:val="none" w:sz="0" w:space="0" w:color="auto"/>
                    <w:left w:val="none" w:sz="0" w:space="0" w:color="auto"/>
                    <w:bottom w:val="none" w:sz="0" w:space="0" w:color="auto"/>
                    <w:right w:val="none" w:sz="0" w:space="0" w:color="auto"/>
                  </w:divBdr>
                  <w:divsChild>
                    <w:div w:id="100230004">
                      <w:marLeft w:val="0"/>
                      <w:marRight w:val="0"/>
                      <w:marTop w:val="0"/>
                      <w:marBottom w:val="0"/>
                      <w:divBdr>
                        <w:top w:val="none" w:sz="0" w:space="0" w:color="auto"/>
                        <w:left w:val="none" w:sz="0" w:space="0" w:color="auto"/>
                        <w:bottom w:val="none" w:sz="0" w:space="0" w:color="auto"/>
                        <w:right w:val="none" w:sz="0" w:space="0" w:color="auto"/>
                      </w:divBdr>
                      <w:divsChild>
                        <w:div w:id="200955007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2224-9AD9-4889-9408-178BBA1A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Соколова</cp:lastModifiedBy>
  <cp:revision>4</cp:revision>
  <dcterms:created xsi:type="dcterms:W3CDTF">2021-02-25T07:08:00Z</dcterms:created>
  <dcterms:modified xsi:type="dcterms:W3CDTF">2021-02-25T07:12:00Z</dcterms:modified>
</cp:coreProperties>
</file>