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47BF2419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446546">
        <w:rPr>
          <w:sz w:val="28"/>
          <w:szCs w:val="28"/>
        </w:rPr>
        <w:t>июля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6807E1">
        <w:rPr>
          <w:sz w:val="28"/>
          <w:szCs w:val="28"/>
        </w:rPr>
        <w:t>3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21FCA8B1" w:rsidR="00406E93" w:rsidRPr="00651657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-21508,4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1539654B" w:rsidR="004171B3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1E0E4B10" w:rsidR="004171B3" w:rsidRDefault="00446546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-5423,1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38BB4DFD" w:rsidR="004171B3" w:rsidRPr="00651657" w:rsidRDefault="00446546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17D94B35" w:rsidR="00AD5097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F5133B5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7BFBF06D" w:rsidR="00AD5097" w:rsidRPr="00D15B74" w:rsidRDefault="00845193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35CA79BE" w:rsidR="00AD5097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16EA7AA5" w:rsidR="006C1603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20E5C087" w:rsidR="00AC5DB2" w:rsidRPr="00A41CB9" w:rsidRDefault="00845193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31E6CF" w14:textId="27D2893E" w:rsidR="00AC5DB2" w:rsidRPr="00651657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0DD3C761" w:rsidR="00AC5DB2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2C49F31D" w:rsidR="00F14743" w:rsidRPr="00D702FF" w:rsidRDefault="008451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233E02" w14:textId="24FBBA90" w:rsidR="00F14743" w:rsidRPr="00D15B74" w:rsidRDefault="00845193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3B9E187F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="00845193">
        <w:rPr>
          <w:szCs w:val="24"/>
        </w:rPr>
        <w:t xml:space="preserve"> </w:t>
      </w:r>
      <w:r w:rsidRPr="00486FB6">
        <w:rPr>
          <w:szCs w:val="24"/>
        </w:rPr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</w:t>
      </w:r>
      <w:proofErr w:type="spellStart"/>
      <w:r w:rsidR="006807E1">
        <w:rPr>
          <w:szCs w:val="24"/>
        </w:rPr>
        <w:t>М.В.Елаева</w:t>
      </w:r>
      <w:proofErr w:type="spellEnd"/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r w:rsidR="009D5D85">
        <w:rPr>
          <w:szCs w:val="24"/>
        </w:rPr>
        <w:t xml:space="preserve">                         </w:t>
      </w:r>
      <w:r w:rsidR="00845193">
        <w:rPr>
          <w:szCs w:val="24"/>
        </w:rPr>
        <w:t xml:space="preserve">        </w:t>
      </w:r>
      <w:proofErr w:type="gramStart"/>
      <w:r w:rsidR="00845193">
        <w:rPr>
          <w:szCs w:val="24"/>
        </w:rPr>
        <w:t xml:space="preserve">   </w:t>
      </w:r>
      <w:r w:rsidRPr="00486FB6">
        <w:rPr>
          <w:szCs w:val="24"/>
        </w:rPr>
        <w:t>(</w:t>
      </w:r>
      <w:proofErr w:type="gramEnd"/>
      <w:r w:rsidRPr="00486FB6">
        <w:rPr>
          <w:szCs w:val="24"/>
        </w:rPr>
        <w:t>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="009D5D85">
        <w:rPr>
          <w:szCs w:val="24"/>
        </w:rPr>
        <w:t xml:space="preserve">  </w:t>
      </w:r>
      <w:r w:rsidRPr="00486FB6">
        <w:rPr>
          <w:szCs w:val="24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9760" w14:textId="77777777" w:rsidR="00354788" w:rsidRDefault="00354788" w:rsidP="00686E77">
      <w:r>
        <w:separator/>
      </w:r>
    </w:p>
  </w:endnote>
  <w:endnote w:type="continuationSeparator" w:id="0">
    <w:p w14:paraId="15C5ABF3" w14:textId="77777777" w:rsidR="00354788" w:rsidRDefault="00354788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B71E" w14:textId="77777777" w:rsidR="00354788" w:rsidRDefault="00354788" w:rsidP="00686E77">
      <w:r>
        <w:separator/>
      </w:r>
    </w:p>
  </w:footnote>
  <w:footnote w:type="continuationSeparator" w:id="0">
    <w:p w14:paraId="282981D2" w14:textId="77777777" w:rsidR="00354788" w:rsidRDefault="00354788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4788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26747"/>
    <w:rsid w:val="00446546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61E64"/>
    <w:rsid w:val="00672E1C"/>
    <w:rsid w:val="006807E1"/>
    <w:rsid w:val="00681DD5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45193"/>
    <w:rsid w:val="0085722B"/>
    <w:rsid w:val="0089413C"/>
    <w:rsid w:val="008A0C94"/>
    <w:rsid w:val="008A1F5C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1F67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4</cp:revision>
  <cp:lastPrinted>2023-07-21T12:21:00Z</cp:lastPrinted>
  <dcterms:created xsi:type="dcterms:W3CDTF">2023-07-21T11:45:00Z</dcterms:created>
  <dcterms:modified xsi:type="dcterms:W3CDTF">2023-07-21T12:21:00Z</dcterms:modified>
</cp:coreProperties>
</file>