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8FAE" w14:textId="77777777" w:rsidR="005E0A0F" w:rsidRPr="0050232F" w:rsidRDefault="005E0A0F" w:rsidP="0050232F">
      <w:pPr>
        <w:spacing w:after="0" w:line="240" w:lineRule="auto"/>
        <w:ind w:firstLine="249"/>
        <w:jc w:val="center"/>
        <w:rPr>
          <w:rFonts w:ascii="Times New Roman" w:eastAsia="Times New Roman" w:hAnsi="Times New Roman" w:cs="Times New Roman"/>
          <w:sz w:val="32"/>
          <w:szCs w:val="32"/>
          <w:lang w:eastAsia="ru-RU"/>
        </w:rPr>
      </w:pPr>
      <w:r w:rsidRPr="0050232F">
        <w:rPr>
          <w:rFonts w:ascii="Times New Roman" w:eastAsia="Times New Roman" w:hAnsi="Times New Roman" w:cs="Times New Roman"/>
          <w:b/>
          <w:bCs/>
          <w:sz w:val="32"/>
          <w:szCs w:val="32"/>
          <w:lang w:eastAsia="ru-RU"/>
        </w:rPr>
        <w:t>ОТЧЕТ</w:t>
      </w:r>
    </w:p>
    <w:p w14:paraId="69A9CF0A" w14:textId="77777777" w:rsidR="005E0A0F" w:rsidRPr="0050232F" w:rsidRDefault="005E0A0F" w:rsidP="0050232F">
      <w:pPr>
        <w:spacing w:after="0" w:line="240" w:lineRule="auto"/>
        <w:ind w:firstLine="249"/>
        <w:jc w:val="center"/>
        <w:rPr>
          <w:rFonts w:ascii="Times New Roman" w:eastAsia="Times New Roman" w:hAnsi="Times New Roman" w:cs="Times New Roman"/>
          <w:sz w:val="32"/>
          <w:szCs w:val="32"/>
          <w:lang w:eastAsia="ru-RU"/>
        </w:rPr>
      </w:pPr>
      <w:r w:rsidRPr="0050232F">
        <w:rPr>
          <w:rFonts w:ascii="Times New Roman" w:eastAsia="Times New Roman" w:hAnsi="Times New Roman" w:cs="Times New Roman"/>
          <w:b/>
          <w:bCs/>
          <w:sz w:val="32"/>
          <w:szCs w:val="32"/>
          <w:lang w:eastAsia="ru-RU"/>
        </w:rPr>
        <w:t xml:space="preserve">о работе </w:t>
      </w:r>
      <w:r w:rsidR="0050232F">
        <w:rPr>
          <w:rFonts w:ascii="Times New Roman" w:eastAsia="Times New Roman" w:hAnsi="Times New Roman" w:cs="Times New Roman"/>
          <w:b/>
          <w:bCs/>
          <w:sz w:val="32"/>
          <w:szCs w:val="32"/>
          <w:lang w:eastAsia="ru-RU"/>
        </w:rPr>
        <w:t>департамента финансов</w:t>
      </w:r>
      <w:r w:rsidRPr="0050232F">
        <w:rPr>
          <w:rFonts w:ascii="Times New Roman" w:eastAsia="Times New Roman" w:hAnsi="Times New Roman" w:cs="Times New Roman"/>
          <w:b/>
          <w:bCs/>
          <w:sz w:val="32"/>
          <w:szCs w:val="32"/>
          <w:lang w:eastAsia="ru-RU"/>
        </w:rPr>
        <w:t xml:space="preserve"> </w:t>
      </w:r>
    </w:p>
    <w:p w14:paraId="3278A1C1" w14:textId="77777777" w:rsidR="00927906" w:rsidRDefault="005E0A0F" w:rsidP="0050232F">
      <w:pPr>
        <w:spacing w:after="0" w:line="240" w:lineRule="auto"/>
        <w:ind w:firstLine="249"/>
        <w:jc w:val="center"/>
        <w:rPr>
          <w:rFonts w:ascii="Times New Roman" w:eastAsia="Times New Roman" w:hAnsi="Times New Roman" w:cs="Times New Roman"/>
          <w:b/>
          <w:bCs/>
          <w:sz w:val="32"/>
          <w:szCs w:val="32"/>
          <w:lang w:eastAsia="ru-RU"/>
        </w:rPr>
      </w:pPr>
      <w:r w:rsidRPr="0050232F">
        <w:rPr>
          <w:rFonts w:ascii="Times New Roman" w:eastAsia="Times New Roman" w:hAnsi="Times New Roman" w:cs="Times New Roman"/>
          <w:b/>
          <w:bCs/>
          <w:sz w:val="32"/>
          <w:szCs w:val="32"/>
          <w:lang w:eastAsia="ru-RU"/>
        </w:rPr>
        <w:t xml:space="preserve">администрации </w:t>
      </w:r>
      <w:r w:rsidR="0050232F">
        <w:rPr>
          <w:rFonts w:ascii="Times New Roman" w:eastAsia="Times New Roman" w:hAnsi="Times New Roman" w:cs="Times New Roman"/>
          <w:b/>
          <w:bCs/>
          <w:sz w:val="32"/>
          <w:szCs w:val="32"/>
          <w:lang w:eastAsia="ru-RU"/>
        </w:rPr>
        <w:t>Тутаевского муниципального района</w:t>
      </w:r>
      <w:r w:rsidRPr="0050232F">
        <w:rPr>
          <w:rFonts w:ascii="Times New Roman" w:eastAsia="Times New Roman" w:hAnsi="Times New Roman" w:cs="Times New Roman"/>
          <w:b/>
          <w:bCs/>
          <w:sz w:val="32"/>
          <w:szCs w:val="32"/>
          <w:lang w:eastAsia="ru-RU"/>
        </w:rPr>
        <w:t xml:space="preserve"> </w:t>
      </w:r>
    </w:p>
    <w:p w14:paraId="58E22AE6" w14:textId="77777777" w:rsidR="005E0A0F" w:rsidRDefault="005E0A0F" w:rsidP="0050232F">
      <w:pPr>
        <w:spacing w:after="0" w:line="240" w:lineRule="auto"/>
        <w:ind w:firstLine="249"/>
        <w:jc w:val="center"/>
        <w:rPr>
          <w:rFonts w:ascii="Times New Roman" w:eastAsia="Times New Roman" w:hAnsi="Times New Roman" w:cs="Times New Roman"/>
          <w:b/>
          <w:bCs/>
          <w:sz w:val="32"/>
          <w:szCs w:val="32"/>
          <w:lang w:eastAsia="ru-RU"/>
        </w:rPr>
      </w:pPr>
      <w:r w:rsidRPr="0050232F">
        <w:rPr>
          <w:rFonts w:ascii="Times New Roman" w:eastAsia="Times New Roman" w:hAnsi="Times New Roman" w:cs="Times New Roman"/>
          <w:b/>
          <w:bCs/>
          <w:sz w:val="32"/>
          <w:szCs w:val="32"/>
          <w:lang w:eastAsia="ru-RU"/>
        </w:rPr>
        <w:t>за 20</w:t>
      </w:r>
      <w:r w:rsidR="00C22F1D">
        <w:rPr>
          <w:rFonts w:ascii="Times New Roman" w:eastAsia="Times New Roman" w:hAnsi="Times New Roman" w:cs="Times New Roman"/>
          <w:b/>
          <w:bCs/>
          <w:sz w:val="32"/>
          <w:szCs w:val="32"/>
          <w:lang w:eastAsia="ru-RU"/>
        </w:rPr>
        <w:t>2</w:t>
      </w:r>
      <w:r w:rsidR="0066336B">
        <w:rPr>
          <w:rFonts w:ascii="Times New Roman" w:eastAsia="Times New Roman" w:hAnsi="Times New Roman" w:cs="Times New Roman"/>
          <w:b/>
          <w:bCs/>
          <w:sz w:val="32"/>
          <w:szCs w:val="32"/>
          <w:lang w:eastAsia="ru-RU"/>
        </w:rPr>
        <w:t>2</w:t>
      </w:r>
      <w:r w:rsidR="0050232F">
        <w:rPr>
          <w:rFonts w:ascii="Times New Roman" w:eastAsia="Times New Roman" w:hAnsi="Times New Roman" w:cs="Times New Roman"/>
          <w:b/>
          <w:bCs/>
          <w:sz w:val="32"/>
          <w:szCs w:val="32"/>
          <w:lang w:eastAsia="ru-RU"/>
        </w:rPr>
        <w:t xml:space="preserve"> </w:t>
      </w:r>
      <w:r w:rsidRPr="0050232F">
        <w:rPr>
          <w:rFonts w:ascii="Times New Roman" w:eastAsia="Times New Roman" w:hAnsi="Times New Roman" w:cs="Times New Roman"/>
          <w:b/>
          <w:bCs/>
          <w:sz w:val="32"/>
          <w:szCs w:val="32"/>
          <w:lang w:eastAsia="ru-RU"/>
        </w:rPr>
        <w:t xml:space="preserve">год </w:t>
      </w:r>
    </w:p>
    <w:p w14:paraId="7794A5D3" w14:textId="77777777" w:rsidR="00427CEE" w:rsidRPr="00DF3EDD" w:rsidRDefault="004A7A13" w:rsidP="00427CEE">
      <w:pPr>
        <w:ind w:firstLine="709"/>
        <w:jc w:val="both"/>
        <w:rPr>
          <w:rFonts w:eastAsia="Arial"/>
          <w:color w:val="FF0000"/>
          <w:u w:val="single"/>
        </w:rPr>
      </w:pPr>
      <w:r w:rsidRPr="004A7A13">
        <w:rPr>
          <w:rFonts w:ascii="Times New Roman" w:eastAsia="Arial" w:hAnsi="Times New Roman" w:cs="Times New Roman"/>
          <w:color w:val="000000"/>
          <w:sz w:val="28"/>
          <w:szCs w:val="28"/>
        </w:rPr>
        <w:t xml:space="preserve">               </w:t>
      </w:r>
      <w:r w:rsidRPr="004A7A13">
        <w:rPr>
          <w:rFonts w:ascii="Times New Roman" w:hAnsi="Times New Roman" w:cs="Times New Roman"/>
          <w:color w:val="000000"/>
          <w:sz w:val="28"/>
          <w:szCs w:val="28"/>
        </w:rPr>
        <w:t xml:space="preserve">     </w:t>
      </w:r>
    </w:p>
    <w:tbl>
      <w:tblPr>
        <w:tblOverlap w:val="never"/>
        <w:tblW w:w="0" w:type="auto"/>
        <w:tblInd w:w="-34" w:type="dxa"/>
        <w:tblLook w:val="01E0" w:firstRow="1" w:lastRow="1" w:firstColumn="1" w:lastColumn="1" w:noHBand="0" w:noVBand="0"/>
      </w:tblPr>
      <w:tblGrid>
        <w:gridCol w:w="9389"/>
      </w:tblGrid>
      <w:tr w:rsidR="00B03AA9" w:rsidRPr="00D005FE" w14:paraId="0D8F8F16" w14:textId="77777777" w:rsidTr="000A2E63">
        <w:trPr>
          <w:trHeight w:val="276"/>
        </w:trPr>
        <w:tc>
          <w:tcPr>
            <w:tcW w:w="0" w:type="auto"/>
          </w:tcPr>
          <w:p w14:paraId="1CAA7B8D" w14:textId="77777777"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В ходе кассового исполнения бюджета в течение 2022 финансового года департамент финансов обслуживал 180 лицевых счетов 70 участников и не участников бюджетного процесса  Тутаевского муниципального района и  городского поселения Тутаев. Проведены мероприятия по закрытию и открытию 6 лицевых счетов.</w:t>
            </w:r>
          </w:p>
          <w:p w14:paraId="53529947" w14:textId="77777777"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 xml:space="preserve">Ежедневно осуществлялся предварительный и текущий контроль расходования бюджетных средств, соблюдалась процедура санкционирования оплаты денежных обязательств казенных учреждений, целевых субсидий, выделенных бюджетным учреждениям Тутаевского муниципального района. Принято, проверено, обработано и передано в банк через систему электронного документооборота с УФК 76749 платежных документа, отклонено не прошедших контроль 3729 платежных документа. Сформировано 1752 реестра на перечисление средств со счетов бюджета. Принято 998 банковских выписок. </w:t>
            </w:r>
          </w:p>
          <w:p w14:paraId="22CF1675" w14:textId="77777777"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Обработано 17338 платежных документов на зачисление доходов бюджета и бюджетных учреждений.</w:t>
            </w:r>
          </w:p>
          <w:p w14:paraId="7D9D3BED" w14:textId="77777777"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Производился прием и проверка Сведений об операциях с целевыми субсидиями бюджетных учреждений. Поступило 1182 документов, не прошли контроль и отправлены на уточнение 169 документов.</w:t>
            </w:r>
          </w:p>
          <w:p w14:paraId="1410E07F" w14:textId="77777777"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 xml:space="preserve"> Принято на бумажном носителе 491 Уведомлений об уточнении вида и принадлежности платежа по расходам получателей средств бюджета и бюджетных учреждений. Произведено формирование данных Уведомлений в программе АС «Бюджет».</w:t>
            </w:r>
          </w:p>
          <w:p w14:paraId="6681231A" w14:textId="77777777"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 xml:space="preserve"> Проводилась ежедневная проверка, выгрузка в программу электронного документооборота, направление клиентам выписок по лицевым счетам. Всего сформировано и направлено клиентам 17282 выписки и 1995 ежемесячных отчета о состоянии лицевых счетов.</w:t>
            </w:r>
          </w:p>
          <w:p w14:paraId="032C9AC7" w14:textId="77777777"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 xml:space="preserve">Осуществлялся контроль платежей при зачислении на банковские счета физических лиц, операции по которым осуществляются с использованием национальных платежных инструментов (платежных карт </w:t>
            </w:r>
            <w:r w:rsidRPr="00D005FE">
              <w:rPr>
                <w:rFonts w:ascii="Times New Roman" w:hAnsi="Times New Roman" w:cs="Times New Roman"/>
                <w:color w:val="000000"/>
                <w:sz w:val="28"/>
                <w:szCs w:val="28"/>
              </w:rPr>
              <w:lastRenderedPageBreak/>
              <w:t>«Мир») в соответствии с ФЗ от 27.06.2011г. №161-ФЗ «О национальной платежной системе».</w:t>
            </w:r>
          </w:p>
          <w:p w14:paraId="613A8135" w14:textId="77777777"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Обеспечивался учет бюджетных обязательств получателей средств бюджета по заключенным муниципальным контрактам на поставку товаров, выполнение работ, оказание услуг для муниципальных нужд. Поставлено на учет, включая изменения, 14582 контракт, по результатам проверки не прошли контроль и отправлены на доработку 431 контракта.</w:t>
            </w:r>
          </w:p>
          <w:p w14:paraId="1C7BC1F3" w14:textId="77777777" w:rsidR="00B03AA9" w:rsidRPr="00D005FE" w:rsidRDefault="00B03AA9" w:rsidP="000A2E63">
            <w:pPr>
              <w:ind w:firstLine="993"/>
              <w:jc w:val="both"/>
              <w:rPr>
                <w:rFonts w:ascii="Times New Roman" w:eastAsia="Calibri" w:hAnsi="Times New Roman" w:cs="Times New Roman"/>
                <w:color w:val="000000"/>
                <w:sz w:val="28"/>
                <w:szCs w:val="28"/>
              </w:rPr>
            </w:pPr>
            <w:r w:rsidRPr="00D005FE">
              <w:rPr>
                <w:rFonts w:ascii="Times New Roman" w:hAnsi="Times New Roman" w:cs="Times New Roman"/>
                <w:color w:val="000000"/>
                <w:sz w:val="28"/>
                <w:szCs w:val="28"/>
              </w:rPr>
              <w:t xml:space="preserve"> Осуществлялось исполнительное производство в отношении исполнительных документов, обращающих взыскания на средства бюджета Тутаевского муниципального района и городского поселения Тутаев. За 2022 год поступило 64 исполнительных листа на общую сумму 8897,1 тыс. рублей и 8 решений налогового органа на общую сумму 196,4 тыс. рублей, исполнено исполнительных документов (с учетом задолженности на 01.01.2022 г.)  на общую сумму 9104,9 тыс. рублей.  Задолженность на 01.01.2023 года составляет 229,5 тыс. рублей.</w:t>
            </w:r>
          </w:p>
          <w:p w14:paraId="52CC3CC6" w14:textId="77777777"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В рамках реализации внедрения государственной информационной системы управления общественными финансами «Электронный бюджет» осуществлялись функции по формированию Реестра участников и неучастников бюджетного процесса. В течение года внесены 42 изменения и дополнений в Сводный реестр.</w:t>
            </w:r>
          </w:p>
          <w:p w14:paraId="5BFB5675" w14:textId="2BD63FFE"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Проводился контроль</w:t>
            </w:r>
            <w:r w:rsidR="001F29C6">
              <w:rPr>
                <w:rFonts w:ascii="Times New Roman" w:hAnsi="Times New Roman" w:cs="Times New Roman"/>
                <w:color w:val="000000"/>
                <w:sz w:val="28"/>
                <w:szCs w:val="28"/>
              </w:rPr>
              <w:t xml:space="preserve">, </w:t>
            </w:r>
            <w:r w:rsidRPr="00D005FE">
              <w:rPr>
                <w:rFonts w:ascii="Times New Roman" w:hAnsi="Times New Roman" w:cs="Times New Roman"/>
                <w:color w:val="000000"/>
                <w:sz w:val="28"/>
                <w:szCs w:val="28"/>
              </w:rPr>
              <w:t>предусмотренный частью 5 статьи 99 Федерального закона «О контрактной системе в сфере закупок товаров, работ, услуг для обеспечения государственных и муниципальных нужд» в части контроля сведений включаемых в Реестр контрактов, в том числе по муниципальным унитарным предприятиям. Принято на контроль 4048 документов, по результатам проверки не прошли контроль и отправлены на доработку 342 документа.</w:t>
            </w:r>
          </w:p>
          <w:p w14:paraId="54309ED8" w14:textId="77777777" w:rsidR="00B03AA9" w:rsidRPr="00D005FE" w:rsidRDefault="00B03AA9" w:rsidP="000A2E63">
            <w:pPr>
              <w:ind w:firstLine="993"/>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Исполнялись требования по ежедневному направлению в ГИС ГМП информации о платежах на оплату государственных и муниципальных услуг с лицевых счетов, открытых в департаменте финансов, отправлено 28082 платежных документа.</w:t>
            </w:r>
          </w:p>
          <w:p w14:paraId="684AB29C" w14:textId="77777777" w:rsidR="00B03AA9" w:rsidRPr="00D005FE" w:rsidRDefault="00B03AA9" w:rsidP="000A2E63">
            <w:pPr>
              <w:tabs>
                <w:tab w:val="left" w:pos="1188"/>
              </w:tabs>
              <w:jc w:val="both"/>
              <w:rPr>
                <w:rFonts w:ascii="Times New Roman" w:eastAsia="Calibri" w:hAnsi="Times New Roman" w:cs="Times New Roman"/>
                <w:color w:val="000000"/>
                <w:sz w:val="28"/>
                <w:szCs w:val="28"/>
              </w:rPr>
            </w:pPr>
            <w:r w:rsidRPr="00D005FE">
              <w:rPr>
                <w:rFonts w:ascii="Times New Roman" w:hAnsi="Times New Roman" w:cs="Times New Roman"/>
                <w:color w:val="000000"/>
                <w:sz w:val="28"/>
                <w:szCs w:val="28"/>
              </w:rPr>
              <w:t xml:space="preserve">             На едином портале бюджетной системы РФ размещалась информация об основах кассового обслуживания и порядке исполнения бюджета. В</w:t>
            </w:r>
            <w:r w:rsidR="00812579">
              <w:rPr>
                <w:rFonts w:ascii="Times New Roman" w:hAnsi="Times New Roman" w:cs="Times New Roman"/>
                <w:color w:val="000000"/>
                <w:sz w:val="28"/>
                <w:szCs w:val="28"/>
              </w:rPr>
              <w:t xml:space="preserve"> </w:t>
            </w:r>
            <w:r w:rsidRPr="00D005FE">
              <w:rPr>
                <w:rFonts w:ascii="Times New Roman" w:hAnsi="Times New Roman" w:cs="Times New Roman"/>
                <w:color w:val="000000"/>
                <w:sz w:val="28"/>
                <w:szCs w:val="28"/>
              </w:rPr>
              <w:t xml:space="preserve">подсистеме «Бюджетное планирование» ежемесячно формировалась информация об исполнении судебных актов по обращению </w:t>
            </w:r>
            <w:r w:rsidRPr="00D005FE">
              <w:rPr>
                <w:rFonts w:ascii="Times New Roman" w:hAnsi="Times New Roman" w:cs="Times New Roman"/>
                <w:color w:val="000000"/>
                <w:sz w:val="28"/>
                <w:szCs w:val="28"/>
              </w:rPr>
              <w:lastRenderedPageBreak/>
              <w:t xml:space="preserve">взыскания на средства местного бюджета, информация об исполнении решений налоговых органов о взыскании налогов, сборов, пеней и штрафов, предусматривающих взыскания на средства местного бюджета. </w:t>
            </w:r>
          </w:p>
          <w:p w14:paraId="14B30B54" w14:textId="77777777" w:rsidR="00B03AA9" w:rsidRPr="00D005FE" w:rsidRDefault="00B03AA9" w:rsidP="000A2E63">
            <w:pPr>
              <w:tabs>
                <w:tab w:val="left" w:pos="1188"/>
              </w:tabs>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 xml:space="preserve">              В рамках реализации приказа Минфина РФ от 21 июля 2011 года №86-н осуществлялось администрирование сайта «</w:t>
            </w:r>
            <w:r w:rsidRPr="00D005FE">
              <w:rPr>
                <w:rFonts w:ascii="Times New Roman" w:hAnsi="Times New Roman" w:cs="Times New Roman"/>
                <w:color w:val="000000"/>
                <w:sz w:val="28"/>
                <w:szCs w:val="28"/>
                <w:lang w:val="en-US"/>
              </w:rPr>
              <w:t>Web</w:t>
            </w:r>
            <w:r w:rsidRPr="00D005FE">
              <w:rPr>
                <w:rFonts w:ascii="Times New Roman" w:hAnsi="Times New Roman" w:cs="Times New Roman"/>
                <w:color w:val="000000"/>
                <w:sz w:val="28"/>
                <w:szCs w:val="28"/>
              </w:rPr>
              <w:t>-Консолидация 86н», в части ведения и актуализации справочников. Так же велся постоянный контроль за своевременным размещением информации муниципальными бюджетными и казенными учреждениями. С 01.09.2022 года ресурс выведен из эксплуатации.</w:t>
            </w:r>
          </w:p>
          <w:p w14:paraId="33C64446" w14:textId="77777777" w:rsidR="00B03AA9" w:rsidRPr="00D005FE" w:rsidRDefault="00B03AA9" w:rsidP="000A2E63">
            <w:pPr>
              <w:ind w:firstLine="709"/>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В соответствии с приказом Минфина России от 28.12.2016 №243н «О составе и порядке размещения и предоставления информации на едином портале бюджетной системы РФ» Тутаевский муниципальный район формирует и городское поселение Тутаев размещают информацию в подсистеме «Бюджетное планирование» системы «Электронный бюджет» с соблюдением требований и сроков, установленных приказом.</w:t>
            </w:r>
          </w:p>
          <w:p w14:paraId="5835F217" w14:textId="77777777" w:rsidR="00B03AA9" w:rsidRPr="00D005FE" w:rsidRDefault="00B03AA9" w:rsidP="000A2E63">
            <w:pPr>
              <w:ind w:firstLine="709"/>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 xml:space="preserve"> В 2022 году увеличилось количество муниципальных услуг, предоставляемых в электронной форме.</w:t>
            </w:r>
          </w:p>
          <w:p w14:paraId="28955332" w14:textId="77777777" w:rsidR="00B03AA9" w:rsidRPr="00D005FE" w:rsidRDefault="00B03AA9" w:rsidP="000A2E63">
            <w:pPr>
              <w:ind w:firstLine="709"/>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В рамках оптимизации расходов проводился мониторинг кредиторской задолженности с анализом просроченной кредиторской задолженности. Еженедельно комиссия согласовывала прямые муниципальные контрактов. Проводился анализ потребления коммунальных услуг казенными и бюджетными учреждениями. На территории Тутаевского муниципального района внедрены энергоэффективные источники освещения. Осуществляется мониторинг и оценка хода реализации муниципальных программ</w:t>
            </w:r>
            <w:r w:rsidRPr="00D005FE">
              <w:rPr>
                <w:rFonts w:ascii="Times New Roman" w:hAnsi="Times New Roman" w:cs="Times New Roman"/>
                <w:color w:val="000000"/>
              </w:rPr>
              <w:t>.</w:t>
            </w:r>
            <w:r w:rsidRPr="00D005FE">
              <w:rPr>
                <w:rFonts w:ascii="Times New Roman" w:hAnsi="Times New Roman" w:cs="Times New Roman"/>
                <w:color w:val="000000"/>
                <w:sz w:val="28"/>
                <w:szCs w:val="28"/>
              </w:rPr>
              <w:t xml:space="preserve"> В бюджетных учреждениях отремонтированы аварийные участки теплоснабжения, водоснабжения и водоотведения. Произведена замена оконных блоков и дверных проемов. В некоторых учреждениях восстановлена кровля. Так же проведена оптимизация численности работников органов местного самоуправления.   Всего сокращено 87 штатных единиц.  Продолжена инвентаризация имущества используемого для выполнения муниципального задания, по итогам которой неиспользуемое имущество передано в казну Тутаевского муниципального района.</w:t>
            </w:r>
          </w:p>
          <w:p w14:paraId="03A55BCA" w14:textId="77777777" w:rsidR="00B03AA9" w:rsidRPr="00D005FE" w:rsidRDefault="00B03AA9" w:rsidP="000A2E63">
            <w:pPr>
              <w:ind w:right="-33" w:firstLine="709"/>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lastRenderedPageBreak/>
              <w:t xml:space="preserve"> В целях пополнения доходной части бюджета в 2022 году осуществлялись мероприятия в соответствии с планом, утвержденным постановлением Администрации ТМР от 22.01.2020 №29-п. </w:t>
            </w:r>
          </w:p>
          <w:p w14:paraId="79BF17D1" w14:textId="77777777" w:rsidR="00B03AA9" w:rsidRPr="00D005FE" w:rsidRDefault="00B03AA9" w:rsidP="000A2E63">
            <w:pPr>
              <w:ind w:right="-33" w:firstLine="709"/>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За 2022 год проведено 3 заседания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 В течение 2022 года в адрес должников было направлено 80 писем на общую сумму задолженности 2644,9 тыс. руб., общая сумма оплаты – 415,7 тыс. руб.</w:t>
            </w:r>
          </w:p>
          <w:p w14:paraId="3301990C" w14:textId="77777777" w:rsidR="00B03AA9" w:rsidRPr="00D005FE" w:rsidRDefault="00B03AA9" w:rsidP="000A2E63">
            <w:pPr>
              <w:ind w:right="-33" w:firstLine="567"/>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В течение 2022 года проведена работа по выявлению и ликвидации задолженности по местным налогам муниципальных служащих и работников муниципальных учреждений ТМР. Так по состоянию на 01.05.2022 сумма выявленной задолженности 3,44 тыс. руб., а по состоянию на 01.12.2022 – 0,00 руб., то есть оплачено 3,44 тыс. руб. (налог на имущество физических лиц).</w:t>
            </w:r>
          </w:p>
          <w:p w14:paraId="5F593F65" w14:textId="6821984E" w:rsidR="00B03AA9" w:rsidRPr="00D005FE" w:rsidRDefault="00B03AA9" w:rsidP="000A2E63">
            <w:pPr>
              <w:ind w:firstLine="709"/>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В течение года осуществлялся мониторинг уплаты НДФЛ по 20 организациям. Налог начислен по данным организациям – 79 634 тыс. руб. Сумма уплаченного налога по данным организациям составила 78981 тыс. руб. Задолженность на 01.01.2023 составила 4510,6 тыс. руб., за 2022 год прирост задолженности составил 676,8 тыс.руб.</w:t>
            </w:r>
            <w:r w:rsidRPr="00D005FE">
              <w:rPr>
                <w:rFonts w:ascii="Times New Roman" w:hAnsi="Times New Roman" w:cs="Times New Roman"/>
                <w:color w:val="000000"/>
              </w:rPr>
              <w:t xml:space="preserve"> </w:t>
            </w:r>
            <w:r w:rsidRPr="00D005FE">
              <w:rPr>
                <w:rFonts w:ascii="Times New Roman" w:hAnsi="Times New Roman" w:cs="Times New Roman"/>
                <w:color w:val="000000"/>
                <w:sz w:val="28"/>
                <w:szCs w:val="28"/>
              </w:rPr>
              <w:t>Кроме того, осуществляется мониторинг</w:t>
            </w:r>
            <w:r w:rsidRPr="00D005FE">
              <w:rPr>
                <w:rFonts w:ascii="Times New Roman" w:hAnsi="Times New Roman" w:cs="Times New Roman"/>
                <w:color w:val="000000"/>
              </w:rPr>
              <w:t xml:space="preserve"> </w:t>
            </w:r>
            <w:r w:rsidRPr="00D005FE">
              <w:rPr>
                <w:rFonts w:ascii="Times New Roman" w:hAnsi="Times New Roman" w:cs="Times New Roman"/>
                <w:color w:val="000000"/>
                <w:sz w:val="28"/>
                <w:szCs w:val="28"/>
              </w:rPr>
              <w:t xml:space="preserve">платежей по организациям - резидентам ТОСЭР. По состоянию на 01.01.2022 статус резидента имеют 11 организаций. </w:t>
            </w:r>
            <w:r w:rsidR="001F29C6" w:rsidRPr="00D005FE">
              <w:rPr>
                <w:rFonts w:ascii="Times New Roman" w:hAnsi="Times New Roman" w:cs="Times New Roman"/>
                <w:color w:val="000000"/>
                <w:sz w:val="28"/>
                <w:szCs w:val="28"/>
              </w:rPr>
              <w:t>Платежи данных организаций составили за 2022 год 58,5 млн. руб., что больше, чем за 2021 год в 1,6 раза.</w:t>
            </w:r>
            <w:r w:rsidR="001F29C6">
              <w:rPr>
                <w:rFonts w:ascii="Times New Roman" w:hAnsi="Times New Roman" w:cs="Times New Roman"/>
                <w:color w:val="000000"/>
                <w:sz w:val="28"/>
                <w:szCs w:val="28"/>
              </w:rPr>
              <w:t xml:space="preserve"> </w:t>
            </w:r>
            <w:r w:rsidRPr="00D005FE">
              <w:rPr>
                <w:rFonts w:ascii="Times New Roman" w:hAnsi="Times New Roman" w:cs="Times New Roman"/>
                <w:color w:val="000000"/>
                <w:sz w:val="28"/>
                <w:szCs w:val="28"/>
              </w:rPr>
              <w:t xml:space="preserve">Три организации утратили статус резидента в связи с невыполнением плановых показателей: ООО «Интеллект-М», ООО «Волга-Полимер» и ООО «Смарт Хемп Ярославль».   </w:t>
            </w:r>
          </w:p>
          <w:p w14:paraId="7DE1DDF4" w14:textId="77777777" w:rsidR="00B03AA9" w:rsidRPr="00D005FE" w:rsidRDefault="00B03AA9" w:rsidP="000A2E63">
            <w:pPr>
              <w:ind w:firstLine="739"/>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 xml:space="preserve">В 2022 году в рамках информационной кампании проведены следующие мероприятия: </w:t>
            </w:r>
          </w:p>
          <w:p w14:paraId="5D0CD8CB" w14:textId="77777777" w:rsidR="00B03AA9" w:rsidRPr="00D005FE" w:rsidRDefault="00B03AA9" w:rsidP="000A2E63">
            <w:pPr>
              <w:ind w:firstLine="739"/>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1. Размещена информация о наступлении срока уплаты имущественных налогов и способах оплаты на официальных сайтах Администрации ТМР и Департамента финансов администрации ТМР, на информационных досках учреждений.</w:t>
            </w:r>
          </w:p>
          <w:p w14:paraId="50E5C706" w14:textId="77777777" w:rsidR="00B03AA9" w:rsidRPr="00D005FE" w:rsidRDefault="00B03AA9" w:rsidP="000A2E63">
            <w:pPr>
              <w:ind w:firstLine="739"/>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 xml:space="preserve">2. В администрации сельских поселений было направлено письмо с рекомендациями о проведении информационной налоговой кампании. </w:t>
            </w:r>
          </w:p>
          <w:p w14:paraId="1A1124DF" w14:textId="77777777" w:rsidR="00B03AA9" w:rsidRPr="00D005FE" w:rsidRDefault="00B03AA9" w:rsidP="000A2E63">
            <w:pPr>
              <w:ind w:firstLine="739"/>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lastRenderedPageBreak/>
              <w:t>3. Тутаевская массовая муниципальная газета «Берега» - размещение в номерах газеты информации о наступлении срока и способах уплаты имущественных налогов.</w:t>
            </w:r>
          </w:p>
          <w:p w14:paraId="1EC043E0" w14:textId="77777777" w:rsidR="00B03AA9" w:rsidRPr="00D005FE" w:rsidRDefault="00B03AA9" w:rsidP="000A2E63">
            <w:pPr>
              <w:jc w:val="both"/>
              <w:rPr>
                <w:rFonts w:ascii="Times New Roman" w:hAnsi="Times New Roman" w:cs="Times New Roman"/>
                <w:color w:val="000000"/>
                <w:sz w:val="28"/>
                <w:szCs w:val="28"/>
              </w:rPr>
            </w:pPr>
            <w:r w:rsidRPr="00D005FE">
              <w:rPr>
                <w:rFonts w:ascii="Times New Roman" w:hAnsi="Times New Roman" w:cs="Times New Roman"/>
                <w:color w:val="000000"/>
                <w:sz w:val="28"/>
                <w:szCs w:val="28"/>
              </w:rPr>
              <w:t xml:space="preserve">         В течении года отделом по бухгалтерскому учету и отчетности департамента финансов направлялись информационные письма по вопросам изменения в бухгалтерском учете и отчетности, по вопросам составления годового отчета за 2022 год и изменениям, вступающим в силу с 2023 года. Также в связи с реорганизационными мероприятиями (изменением типа бюджетных учреждений на казенные) с 1 января 2022 года, с целью качественного составления и своевременного представления годовой отчетности за 2022 год, отделом по бухгалтерскому учету и отчетности департамента был проведен мониторинг по переводу входящих остатков по счетам бухгалтерского учета  и организована камеральная проверка отчетности в объеме годовых форм по состоянию на 01.09.2022 года. В результате проверки были выявлены ошибки по данным бухгалтерского учета и приняты меры к их устранению. </w:t>
            </w:r>
          </w:p>
          <w:p w14:paraId="50F89914" w14:textId="77777777" w:rsidR="00B03AA9" w:rsidRPr="00D005FE" w:rsidRDefault="00B03AA9" w:rsidP="000A2E63">
            <w:pPr>
              <w:overflowPunct w:val="0"/>
              <w:autoSpaceDE w:val="0"/>
              <w:autoSpaceDN w:val="0"/>
              <w:adjustRightInd w:val="0"/>
              <w:spacing w:line="20" w:lineRule="atLeast"/>
              <w:ind w:firstLine="709"/>
              <w:jc w:val="center"/>
              <w:textAlignment w:val="baseline"/>
              <w:rPr>
                <w:rFonts w:ascii="Times New Roman" w:hAnsi="Times New Roman" w:cs="Times New Roman"/>
                <w:b/>
                <w:color w:val="000000"/>
                <w:sz w:val="36"/>
                <w:szCs w:val="36"/>
              </w:rPr>
            </w:pPr>
          </w:p>
          <w:p w14:paraId="6C1570A6" w14:textId="77777777" w:rsidR="00B03AA9" w:rsidRPr="00D005FE" w:rsidRDefault="00B03AA9" w:rsidP="00B03AA9">
            <w:pPr>
              <w:jc w:val="center"/>
              <w:rPr>
                <w:rFonts w:ascii="Times New Roman" w:hAnsi="Times New Roman" w:cs="Times New Roman"/>
                <w:color w:val="000000"/>
              </w:rPr>
            </w:pPr>
          </w:p>
        </w:tc>
      </w:tr>
      <w:tr w:rsidR="00B03AA9" w:rsidRPr="00747993" w14:paraId="25012106" w14:textId="77777777" w:rsidTr="000A2E63">
        <w:trPr>
          <w:trHeight w:val="276"/>
        </w:trPr>
        <w:tc>
          <w:tcPr>
            <w:tcW w:w="0" w:type="auto"/>
          </w:tcPr>
          <w:p w14:paraId="5770FF5B" w14:textId="77777777" w:rsidR="00B03AA9" w:rsidRPr="00747993" w:rsidRDefault="00B03AA9" w:rsidP="000A2E63">
            <w:pPr>
              <w:ind w:firstLine="709"/>
              <w:jc w:val="both"/>
              <w:rPr>
                <w:color w:val="000000"/>
              </w:rPr>
            </w:pPr>
          </w:p>
        </w:tc>
      </w:tr>
    </w:tbl>
    <w:p w14:paraId="375CAA4A" w14:textId="77777777" w:rsidR="00427CEE" w:rsidRPr="0066336B" w:rsidRDefault="00427CEE" w:rsidP="00B03AA9">
      <w:pPr>
        <w:ind w:firstLine="993"/>
        <w:jc w:val="both"/>
        <w:rPr>
          <w:rFonts w:ascii="Times New Roman" w:hAnsi="Times New Roman" w:cs="Times New Roman"/>
          <w:color w:val="FF0000"/>
          <w:sz w:val="28"/>
          <w:szCs w:val="28"/>
        </w:rPr>
      </w:pPr>
    </w:p>
    <w:sectPr w:rsidR="00427CEE" w:rsidRPr="0066336B" w:rsidSect="0045542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B1A4" w14:textId="77777777" w:rsidR="00A9255F" w:rsidRDefault="00A9255F" w:rsidP="00CB0157">
      <w:pPr>
        <w:spacing w:after="0" w:line="240" w:lineRule="auto"/>
      </w:pPr>
      <w:r>
        <w:separator/>
      </w:r>
    </w:p>
  </w:endnote>
  <w:endnote w:type="continuationSeparator" w:id="0">
    <w:p w14:paraId="717526FF" w14:textId="77777777" w:rsidR="00A9255F" w:rsidRDefault="00A9255F" w:rsidP="00C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7493" w14:textId="77777777" w:rsidR="00A9255F" w:rsidRDefault="00A9255F" w:rsidP="00CB0157">
      <w:pPr>
        <w:spacing w:after="0" w:line="240" w:lineRule="auto"/>
      </w:pPr>
      <w:r>
        <w:separator/>
      </w:r>
    </w:p>
  </w:footnote>
  <w:footnote w:type="continuationSeparator" w:id="0">
    <w:p w14:paraId="4C40D78B" w14:textId="77777777" w:rsidR="00A9255F" w:rsidRDefault="00A9255F" w:rsidP="00CB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02931"/>
      <w:docPartObj>
        <w:docPartGallery w:val="Page Numbers (Top of Page)"/>
        <w:docPartUnique/>
      </w:docPartObj>
    </w:sdtPr>
    <w:sdtContent>
      <w:p w14:paraId="3D0A894A" w14:textId="77777777" w:rsidR="0073709F" w:rsidRDefault="008B6442">
        <w:pPr>
          <w:pStyle w:val="a4"/>
          <w:jc w:val="right"/>
        </w:pPr>
        <w:r>
          <w:fldChar w:fldCharType="begin"/>
        </w:r>
        <w:r>
          <w:instrText xml:space="preserve"> PAGE   \* MERGEFORMAT </w:instrText>
        </w:r>
        <w:r>
          <w:fldChar w:fldCharType="separate"/>
        </w:r>
        <w:r w:rsidR="00A62AD6">
          <w:rPr>
            <w:noProof/>
          </w:rPr>
          <w:t>1</w:t>
        </w:r>
        <w:r>
          <w:rPr>
            <w:noProof/>
          </w:rPr>
          <w:fldChar w:fldCharType="end"/>
        </w:r>
      </w:p>
    </w:sdtContent>
  </w:sdt>
  <w:p w14:paraId="5841BC2A" w14:textId="77777777" w:rsidR="0073709F" w:rsidRDefault="007370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277C1"/>
    <w:multiLevelType w:val="hybridMultilevel"/>
    <w:tmpl w:val="1CFC55F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48569E"/>
    <w:multiLevelType w:val="hybridMultilevel"/>
    <w:tmpl w:val="C85ACD1E"/>
    <w:lvl w:ilvl="0" w:tplc="FC722E7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43E2735A"/>
    <w:multiLevelType w:val="hybridMultilevel"/>
    <w:tmpl w:val="30EAEC9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4E4D3087"/>
    <w:multiLevelType w:val="hybridMultilevel"/>
    <w:tmpl w:val="1D405FD6"/>
    <w:lvl w:ilvl="0" w:tplc="C5A270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16cid:durableId="1754089115">
    <w:abstractNumId w:val="2"/>
  </w:num>
  <w:num w:numId="2" w16cid:durableId="1743865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8372504">
    <w:abstractNumId w:val="3"/>
  </w:num>
  <w:num w:numId="4" w16cid:durableId="935603093">
    <w:abstractNumId w:val="1"/>
  </w:num>
  <w:num w:numId="5" w16cid:durableId="213767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0F"/>
    <w:rsid w:val="00005FF3"/>
    <w:rsid w:val="0001640C"/>
    <w:rsid w:val="000225B1"/>
    <w:rsid w:val="00023C28"/>
    <w:rsid w:val="00024C2D"/>
    <w:rsid w:val="000266D7"/>
    <w:rsid w:val="00027A9B"/>
    <w:rsid w:val="000345BF"/>
    <w:rsid w:val="00043304"/>
    <w:rsid w:val="0004492A"/>
    <w:rsid w:val="0005234B"/>
    <w:rsid w:val="0005696F"/>
    <w:rsid w:val="000578AE"/>
    <w:rsid w:val="00061183"/>
    <w:rsid w:val="0006208C"/>
    <w:rsid w:val="00070A15"/>
    <w:rsid w:val="000741CD"/>
    <w:rsid w:val="00082CB8"/>
    <w:rsid w:val="00082E6B"/>
    <w:rsid w:val="00094EE8"/>
    <w:rsid w:val="00095B26"/>
    <w:rsid w:val="000A46CD"/>
    <w:rsid w:val="000B3934"/>
    <w:rsid w:val="000C6AD1"/>
    <w:rsid w:val="000D1EB9"/>
    <w:rsid w:val="000D3BFE"/>
    <w:rsid w:val="000D59E4"/>
    <w:rsid w:val="000E41AF"/>
    <w:rsid w:val="000E425F"/>
    <w:rsid w:val="000E5BD1"/>
    <w:rsid w:val="000F3323"/>
    <w:rsid w:val="00100A4F"/>
    <w:rsid w:val="00103A55"/>
    <w:rsid w:val="0011332C"/>
    <w:rsid w:val="00126504"/>
    <w:rsid w:val="00131E3B"/>
    <w:rsid w:val="00143D64"/>
    <w:rsid w:val="00151020"/>
    <w:rsid w:val="001608F2"/>
    <w:rsid w:val="00160DF1"/>
    <w:rsid w:val="0016271F"/>
    <w:rsid w:val="001639D1"/>
    <w:rsid w:val="00167D46"/>
    <w:rsid w:val="00172D07"/>
    <w:rsid w:val="00181733"/>
    <w:rsid w:val="00183324"/>
    <w:rsid w:val="00184AB1"/>
    <w:rsid w:val="00185A7E"/>
    <w:rsid w:val="001958E2"/>
    <w:rsid w:val="001A2553"/>
    <w:rsid w:val="001C00C6"/>
    <w:rsid w:val="001C0123"/>
    <w:rsid w:val="001C088F"/>
    <w:rsid w:val="001C0CF5"/>
    <w:rsid w:val="001C4BC1"/>
    <w:rsid w:val="001C6C45"/>
    <w:rsid w:val="001E186A"/>
    <w:rsid w:val="001E2A78"/>
    <w:rsid w:val="001E3A1E"/>
    <w:rsid w:val="001E4D53"/>
    <w:rsid w:val="001F29C6"/>
    <w:rsid w:val="001F5EB0"/>
    <w:rsid w:val="001F6F77"/>
    <w:rsid w:val="001F78A6"/>
    <w:rsid w:val="002147EB"/>
    <w:rsid w:val="0022792F"/>
    <w:rsid w:val="0023189C"/>
    <w:rsid w:val="00236DF7"/>
    <w:rsid w:val="00237984"/>
    <w:rsid w:val="002411BB"/>
    <w:rsid w:val="00244EBD"/>
    <w:rsid w:val="00247F97"/>
    <w:rsid w:val="00250D3E"/>
    <w:rsid w:val="002626F2"/>
    <w:rsid w:val="002712A8"/>
    <w:rsid w:val="00271847"/>
    <w:rsid w:val="00274299"/>
    <w:rsid w:val="0028076F"/>
    <w:rsid w:val="0029000D"/>
    <w:rsid w:val="00295970"/>
    <w:rsid w:val="002A5D7A"/>
    <w:rsid w:val="002A6290"/>
    <w:rsid w:val="002B2B2E"/>
    <w:rsid w:val="002C05CA"/>
    <w:rsid w:val="002C1276"/>
    <w:rsid w:val="002C142E"/>
    <w:rsid w:val="002D190D"/>
    <w:rsid w:val="002D2987"/>
    <w:rsid w:val="0030263A"/>
    <w:rsid w:val="00304F47"/>
    <w:rsid w:val="00305AF0"/>
    <w:rsid w:val="00307C6E"/>
    <w:rsid w:val="003120A1"/>
    <w:rsid w:val="00317326"/>
    <w:rsid w:val="003255AF"/>
    <w:rsid w:val="00326B70"/>
    <w:rsid w:val="0033052B"/>
    <w:rsid w:val="00336ADE"/>
    <w:rsid w:val="00344BD2"/>
    <w:rsid w:val="00346850"/>
    <w:rsid w:val="003607F9"/>
    <w:rsid w:val="00372393"/>
    <w:rsid w:val="003728EA"/>
    <w:rsid w:val="00376B64"/>
    <w:rsid w:val="0038313D"/>
    <w:rsid w:val="003841E8"/>
    <w:rsid w:val="0039146D"/>
    <w:rsid w:val="00392020"/>
    <w:rsid w:val="00397944"/>
    <w:rsid w:val="003A35E9"/>
    <w:rsid w:val="003B02DB"/>
    <w:rsid w:val="003B26D0"/>
    <w:rsid w:val="003B5A3C"/>
    <w:rsid w:val="003B7737"/>
    <w:rsid w:val="003C3001"/>
    <w:rsid w:val="003C4CF2"/>
    <w:rsid w:val="003D72DE"/>
    <w:rsid w:val="003E0DC6"/>
    <w:rsid w:val="003E3A24"/>
    <w:rsid w:val="003E3CC7"/>
    <w:rsid w:val="003F544E"/>
    <w:rsid w:val="003F6971"/>
    <w:rsid w:val="004000BA"/>
    <w:rsid w:val="004077FE"/>
    <w:rsid w:val="00411F62"/>
    <w:rsid w:val="00425659"/>
    <w:rsid w:val="00427CEE"/>
    <w:rsid w:val="00440DEB"/>
    <w:rsid w:val="00447AD5"/>
    <w:rsid w:val="0045060C"/>
    <w:rsid w:val="00453439"/>
    <w:rsid w:val="00455429"/>
    <w:rsid w:val="00461202"/>
    <w:rsid w:val="004622C9"/>
    <w:rsid w:val="00470247"/>
    <w:rsid w:val="00476264"/>
    <w:rsid w:val="00476871"/>
    <w:rsid w:val="00482F12"/>
    <w:rsid w:val="00491871"/>
    <w:rsid w:val="004952DA"/>
    <w:rsid w:val="004A04B7"/>
    <w:rsid w:val="004A6277"/>
    <w:rsid w:val="004A7A13"/>
    <w:rsid w:val="004A7DC8"/>
    <w:rsid w:val="004D6387"/>
    <w:rsid w:val="004E11DD"/>
    <w:rsid w:val="004F7FBA"/>
    <w:rsid w:val="0050232F"/>
    <w:rsid w:val="0050470B"/>
    <w:rsid w:val="00504B10"/>
    <w:rsid w:val="005134CF"/>
    <w:rsid w:val="005145F5"/>
    <w:rsid w:val="00515A4C"/>
    <w:rsid w:val="0053159F"/>
    <w:rsid w:val="005325B5"/>
    <w:rsid w:val="00540FA3"/>
    <w:rsid w:val="00551785"/>
    <w:rsid w:val="005543DE"/>
    <w:rsid w:val="00557584"/>
    <w:rsid w:val="00586728"/>
    <w:rsid w:val="005906D2"/>
    <w:rsid w:val="005957F3"/>
    <w:rsid w:val="005A3B28"/>
    <w:rsid w:val="005A3C1F"/>
    <w:rsid w:val="005A419A"/>
    <w:rsid w:val="005A4C13"/>
    <w:rsid w:val="005B583A"/>
    <w:rsid w:val="005C0390"/>
    <w:rsid w:val="005C0C77"/>
    <w:rsid w:val="005C13FA"/>
    <w:rsid w:val="005C701B"/>
    <w:rsid w:val="005D297B"/>
    <w:rsid w:val="005D39AC"/>
    <w:rsid w:val="005D74BE"/>
    <w:rsid w:val="005E0A0F"/>
    <w:rsid w:val="005E6275"/>
    <w:rsid w:val="005F00EE"/>
    <w:rsid w:val="005F6269"/>
    <w:rsid w:val="006025F3"/>
    <w:rsid w:val="00602768"/>
    <w:rsid w:val="0060294E"/>
    <w:rsid w:val="0060516A"/>
    <w:rsid w:val="006068F1"/>
    <w:rsid w:val="0061146E"/>
    <w:rsid w:val="006115C8"/>
    <w:rsid w:val="00616AB6"/>
    <w:rsid w:val="00620E96"/>
    <w:rsid w:val="006310CB"/>
    <w:rsid w:val="00631D5C"/>
    <w:rsid w:val="00633BEA"/>
    <w:rsid w:val="00642DC5"/>
    <w:rsid w:val="006445C1"/>
    <w:rsid w:val="00647F69"/>
    <w:rsid w:val="006544DF"/>
    <w:rsid w:val="0066336B"/>
    <w:rsid w:val="00665DDD"/>
    <w:rsid w:val="00672DDA"/>
    <w:rsid w:val="00677235"/>
    <w:rsid w:val="00680DC7"/>
    <w:rsid w:val="0068427F"/>
    <w:rsid w:val="0068700A"/>
    <w:rsid w:val="00691808"/>
    <w:rsid w:val="006A456E"/>
    <w:rsid w:val="006A4EAC"/>
    <w:rsid w:val="006A7296"/>
    <w:rsid w:val="006B29EB"/>
    <w:rsid w:val="006B3700"/>
    <w:rsid w:val="006B65EF"/>
    <w:rsid w:val="006C33AD"/>
    <w:rsid w:val="006D6862"/>
    <w:rsid w:val="006D71E1"/>
    <w:rsid w:val="006E5A26"/>
    <w:rsid w:val="006F0752"/>
    <w:rsid w:val="006F1A7B"/>
    <w:rsid w:val="006F6F42"/>
    <w:rsid w:val="00704CB7"/>
    <w:rsid w:val="00706D18"/>
    <w:rsid w:val="007121AF"/>
    <w:rsid w:val="00713E8F"/>
    <w:rsid w:val="00716C36"/>
    <w:rsid w:val="00721733"/>
    <w:rsid w:val="00721F7D"/>
    <w:rsid w:val="00727250"/>
    <w:rsid w:val="007342A4"/>
    <w:rsid w:val="00736B56"/>
    <w:rsid w:val="0073709F"/>
    <w:rsid w:val="007418CE"/>
    <w:rsid w:val="00744E27"/>
    <w:rsid w:val="0075212E"/>
    <w:rsid w:val="00766EF7"/>
    <w:rsid w:val="00767AC0"/>
    <w:rsid w:val="007705BC"/>
    <w:rsid w:val="0078683B"/>
    <w:rsid w:val="00791B7A"/>
    <w:rsid w:val="007B79B8"/>
    <w:rsid w:val="007C28D6"/>
    <w:rsid w:val="007C5589"/>
    <w:rsid w:val="007D0D61"/>
    <w:rsid w:val="007D7764"/>
    <w:rsid w:val="007E063A"/>
    <w:rsid w:val="007E3C57"/>
    <w:rsid w:val="007E58FC"/>
    <w:rsid w:val="007F2D22"/>
    <w:rsid w:val="00812031"/>
    <w:rsid w:val="00812579"/>
    <w:rsid w:val="0081630B"/>
    <w:rsid w:val="008208C0"/>
    <w:rsid w:val="00822C92"/>
    <w:rsid w:val="008234DF"/>
    <w:rsid w:val="00831D0A"/>
    <w:rsid w:val="00834083"/>
    <w:rsid w:val="00835979"/>
    <w:rsid w:val="00835B9F"/>
    <w:rsid w:val="00836586"/>
    <w:rsid w:val="00836606"/>
    <w:rsid w:val="00840039"/>
    <w:rsid w:val="00841F84"/>
    <w:rsid w:val="00843B80"/>
    <w:rsid w:val="00845CC4"/>
    <w:rsid w:val="00881742"/>
    <w:rsid w:val="0088265F"/>
    <w:rsid w:val="00882681"/>
    <w:rsid w:val="00887912"/>
    <w:rsid w:val="008935EF"/>
    <w:rsid w:val="00897D98"/>
    <w:rsid w:val="008B1C1E"/>
    <w:rsid w:val="008B338E"/>
    <w:rsid w:val="008B6442"/>
    <w:rsid w:val="008C14F1"/>
    <w:rsid w:val="008C21B0"/>
    <w:rsid w:val="008C3FCD"/>
    <w:rsid w:val="008D32E4"/>
    <w:rsid w:val="008D59FA"/>
    <w:rsid w:val="008E105F"/>
    <w:rsid w:val="008E4B8C"/>
    <w:rsid w:val="008F02CA"/>
    <w:rsid w:val="008F07E6"/>
    <w:rsid w:val="00910820"/>
    <w:rsid w:val="00920445"/>
    <w:rsid w:val="00927906"/>
    <w:rsid w:val="009313C6"/>
    <w:rsid w:val="00956214"/>
    <w:rsid w:val="0096165F"/>
    <w:rsid w:val="00961F2B"/>
    <w:rsid w:val="00963A56"/>
    <w:rsid w:val="00966789"/>
    <w:rsid w:val="009709F2"/>
    <w:rsid w:val="00990AFB"/>
    <w:rsid w:val="0099206E"/>
    <w:rsid w:val="009A0F6F"/>
    <w:rsid w:val="009C34E0"/>
    <w:rsid w:val="009C60AC"/>
    <w:rsid w:val="009D261F"/>
    <w:rsid w:val="009F12C8"/>
    <w:rsid w:val="009F4790"/>
    <w:rsid w:val="009F4D1A"/>
    <w:rsid w:val="009F74C3"/>
    <w:rsid w:val="00A04FAF"/>
    <w:rsid w:val="00A225CF"/>
    <w:rsid w:val="00A30C78"/>
    <w:rsid w:val="00A32ED6"/>
    <w:rsid w:val="00A3306A"/>
    <w:rsid w:val="00A33789"/>
    <w:rsid w:val="00A34CBE"/>
    <w:rsid w:val="00A442BD"/>
    <w:rsid w:val="00A467AC"/>
    <w:rsid w:val="00A56513"/>
    <w:rsid w:val="00A62AD6"/>
    <w:rsid w:val="00A73D64"/>
    <w:rsid w:val="00A777FA"/>
    <w:rsid w:val="00A9255F"/>
    <w:rsid w:val="00A9391E"/>
    <w:rsid w:val="00AA38A5"/>
    <w:rsid w:val="00AA6101"/>
    <w:rsid w:val="00AA6A8C"/>
    <w:rsid w:val="00AB55D2"/>
    <w:rsid w:val="00AB6F8A"/>
    <w:rsid w:val="00AC2800"/>
    <w:rsid w:val="00AD27D2"/>
    <w:rsid w:val="00AD6C17"/>
    <w:rsid w:val="00AE1080"/>
    <w:rsid w:val="00AE23BB"/>
    <w:rsid w:val="00AE6284"/>
    <w:rsid w:val="00AE6F92"/>
    <w:rsid w:val="00AE7C63"/>
    <w:rsid w:val="00AF2FA9"/>
    <w:rsid w:val="00AF700F"/>
    <w:rsid w:val="00B00362"/>
    <w:rsid w:val="00B00882"/>
    <w:rsid w:val="00B01F82"/>
    <w:rsid w:val="00B03AA9"/>
    <w:rsid w:val="00B15D31"/>
    <w:rsid w:val="00B16E2B"/>
    <w:rsid w:val="00B47D24"/>
    <w:rsid w:val="00B51EF3"/>
    <w:rsid w:val="00B573E4"/>
    <w:rsid w:val="00B60016"/>
    <w:rsid w:val="00B608BC"/>
    <w:rsid w:val="00B61C74"/>
    <w:rsid w:val="00B62144"/>
    <w:rsid w:val="00B76A0A"/>
    <w:rsid w:val="00B9122A"/>
    <w:rsid w:val="00B94ED2"/>
    <w:rsid w:val="00BA2378"/>
    <w:rsid w:val="00BB14D2"/>
    <w:rsid w:val="00BC7E63"/>
    <w:rsid w:val="00BD483A"/>
    <w:rsid w:val="00BD54FA"/>
    <w:rsid w:val="00BD7ABE"/>
    <w:rsid w:val="00BF1915"/>
    <w:rsid w:val="00C049A4"/>
    <w:rsid w:val="00C04E82"/>
    <w:rsid w:val="00C07330"/>
    <w:rsid w:val="00C07D66"/>
    <w:rsid w:val="00C22F1D"/>
    <w:rsid w:val="00C25E40"/>
    <w:rsid w:val="00C3502A"/>
    <w:rsid w:val="00C46E46"/>
    <w:rsid w:val="00C54A63"/>
    <w:rsid w:val="00C7132C"/>
    <w:rsid w:val="00C72809"/>
    <w:rsid w:val="00C7633B"/>
    <w:rsid w:val="00C87533"/>
    <w:rsid w:val="00C92DB9"/>
    <w:rsid w:val="00C948DC"/>
    <w:rsid w:val="00CB0157"/>
    <w:rsid w:val="00CB09EE"/>
    <w:rsid w:val="00CB33E2"/>
    <w:rsid w:val="00CD0A8B"/>
    <w:rsid w:val="00CD1698"/>
    <w:rsid w:val="00CD6119"/>
    <w:rsid w:val="00CD6654"/>
    <w:rsid w:val="00D005FE"/>
    <w:rsid w:val="00D100D3"/>
    <w:rsid w:val="00D20778"/>
    <w:rsid w:val="00D367A2"/>
    <w:rsid w:val="00D36FCA"/>
    <w:rsid w:val="00D3700D"/>
    <w:rsid w:val="00D430C5"/>
    <w:rsid w:val="00D441F1"/>
    <w:rsid w:val="00D558E0"/>
    <w:rsid w:val="00D66741"/>
    <w:rsid w:val="00D67C4D"/>
    <w:rsid w:val="00D82E59"/>
    <w:rsid w:val="00D85429"/>
    <w:rsid w:val="00D93C6A"/>
    <w:rsid w:val="00D963AC"/>
    <w:rsid w:val="00DA320F"/>
    <w:rsid w:val="00DB17F1"/>
    <w:rsid w:val="00DC192C"/>
    <w:rsid w:val="00DD029C"/>
    <w:rsid w:val="00DD4E8F"/>
    <w:rsid w:val="00DE4709"/>
    <w:rsid w:val="00DF2683"/>
    <w:rsid w:val="00DF2EEE"/>
    <w:rsid w:val="00E15178"/>
    <w:rsid w:val="00E543D4"/>
    <w:rsid w:val="00E6198B"/>
    <w:rsid w:val="00E62255"/>
    <w:rsid w:val="00E65753"/>
    <w:rsid w:val="00E67F02"/>
    <w:rsid w:val="00E77D94"/>
    <w:rsid w:val="00E80C34"/>
    <w:rsid w:val="00E8475D"/>
    <w:rsid w:val="00EA130C"/>
    <w:rsid w:val="00EA39B6"/>
    <w:rsid w:val="00EC40AC"/>
    <w:rsid w:val="00ED49F7"/>
    <w:rsid w:val="00EE030D"/>
    <w:rsid w:val="00EF3B77"/>
    <w:rsid w:val="00EF7309"/>
    <w:rsid w:val="00F049EE"/>
    <w:rsid w:val="00F105D3"/>
    <w:rsid w:val="00F2593C"/>
    <w:rsid w:val="00F417A7"/>
    <w:rsid w:val="00F56C7D"/>
    <w:rsid w:val="00F650FF"/>
    <w:rsid w:val="00F65FEB"/>
    <w:rsid w:val="00F711E1"/>
    <w:rsid w:val="00F74982"/>
    <w:rsid w:val="00F76385"/>
    <w:rsid w:val="00F7711F"/>
    <w:rsid w:val="00F8223C"/>
    <w:rsid w:val="00F852A0"/>
    <w:rsid w:val="00F86342"/>
    <w:rsid w:val="00F87CAA"/>
    <w:rsid w:val="00F928BD"/>
    <w:rsid w:val="00FC41BC"/>
    <w:rsid w:val="00FD1A07"/>
    <w:rsid w:val="00FE0660"/>
    <w:rsid w:val="00FE6514"/>
    <w:rsid w:val="00FF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5356"/>
  <w15:docId w15:val="{97357AB7-F47E-4A74-866F-84ECD170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0A0F"/>
    <w:rPr>
      <w:b/>
      <w:bCs/>
    </w:rPr>
  </w:style>
  <w:style w:type="paragraph" w:styleId="a4">
    <w:name w:val="header"/>
    <w:basedOn w:val="a"/>
    <w:link w:val="a5"/>
    <w:unhideWhenUsed/>
    <w:rsid w:val="00CB0157"/>
    <w:pPr>
      <w:tabs>
        <w:tab w:val="center" w:pos="4677"/>
        <w:tab w:val="right" w:pos="9355"/>
      </w:tabs>
      <w:spacing w:after="0" w:line="240" w:lineRule="auto"/>
    </w:pPr>
  </w:style>
  <w:style w:type="character" w:customStyle="1" w:styleId="a5">
    <w:name w:val="Верхний колонтитул Знак"/>
    <w:basedOn w:val="a0"/>
    <w:link w:val="a4"/>
    <w:rsid w:val="00CB0157"/>
  </w:style>
  <w:style w:type="paragraph" w:styleId="a6">
    <w:name w:val="footer"/>
    <w:basedOn w:val="a"/>
    <w:link w:val="a7"/>
    <w:unhideWhenUsed/>
    <w:rsid w:val="00CB0157"/>
    <w:pPr>
      <w:tabs>
        <w:tab w:val="center" w:pos="4677"/>
        <w:tab w:val="right" w:pos="9355"/>
      </w:tabs>
      <w:spacing w:after="0" w:line="240" w:lineRule="auto"/>
    </w:pPr>
  </w:style>
  <w:style w:type="character" w:customStyle="1" w:styleId="a7">
    <w:name w:val="Нижний колонтитул Знак"/>
    <w:basedOn w:val="a0"/>
    <w:link w:val="a6"/>
    <w:rsid w:val="00CB0157"/>
  </w:style>
  <w:style w:type="paragraph" w:styleId="a8">
    <w:name w:val="List Paragraph"/>
    <w:basedOn w:val="a"/>
    <w:uiPriority w:val="34"/>
    <w:qFormat/>
    <w:rsid w:val="003C4CF2"/>
    <w:pPr>
      <w:ind w:left="720"/>
      <w:contextualSpacing/>
    </w:pPr>
  </w:style>
  <w:style w:type="paragraph" w:styleId="4">
    <w:name w:val="toc 4"/>
    <w:autoRedefine/>
    <w:rsid w:val="00B03AA9"/>
    <w:pPr>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B03AA9"/>
    <w:rPr>
      <w:color w:val="0000FF"/>
      <w:u w:val="single"/>
    </w:rPr>
  </w:style>
  <w:style w:type="paragraph" w:customStyle="1" w:styleId="aa">
    <w:basedOn w:val="a"/>
    <w:next w:val="ab"/>
    <w:rsid w:val="00B03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B03AA9"/>
    <w:pPr>
      <w:spacing w:after="0" w:line="240" w:lineRule="auto"/>
    </w:pPr>
    <w:rPr>
      <w:rFonts w:ascii="Calibri" w:eastAsia="Calibri" w:hAnsi="Calibri" w:cs="Times New Roman"/>
    </w:rPr>
  </w:style>
  <w:style w:type="paragraph" w:customStyle="1" w:styleId="ConsCell">
    <w:name w:val="ConsCell"/>
    <w:uiPriority w:val="99"/>
    <w:rsid w:val="00B03AA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rsid w:val="00B03A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qFormat/>
    <w:rsid w:val="00B03AA9"/>
    <w:rPr>
      <w:i/>
      <w:iCs/>
    </w:rPr>
  </w:style>
  <w:style w:type="paragraph" w:styleId="af">
    <w:name w:val="Balloon Text"/>
    <w:basedOn w:val="a"/>
    <w:link w:val="af0"/>
    <w:rsid w:val="00B03AA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B03AA9"/>
    <w:rPr>
      <w:rFonts w:ascii="Tahoma" w:eastAsia="Times New Roman" w:hAnsi="Tahoma" w:cs="Tahoma"/>
      <w:sz w:val="16"/>
      <w:szCs w:val="16"/>
      <w:lang w:eastAsia="ru-RU"/>
    </w:rPr>
  </w:style>
  <w:style w:type="paragraph" w:styleId="ab">
    <w:name w:val="Normal (Web)"/>
    <w:basedOn w:val="a"/>
    <w:uiPriority w:val="99"/>
    <w:semiHidden/>
    <w:unhideWhenUsed/>
    <w:rsid w:val="00B03A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5055">
      <w:bodyDiv w:val="1"/>
      <w:marLeft w:val="0"/>
      <w:marRight w:val="0"/>
      <w:marTop w:val="0"/>
      <w:marBottom w:val="0"/>
      <w:divBdr>
        <w:top w:val="none" w:sz="0" w:space="0" w:color="auto"/>
        <w:left w:val="none" w:sz="0" w:space="0" w:color="auto"/>
        <w:bottom w:val="none" w:sz="0" w:space="0" w:color="auto"/>
        <w:right w:val="none" w:sz="0" w:space="0" w:color="auto"/>
      </w:divBdr>
      <w:divsChild>
        <w:div w:id="1330719635">
          <w:marLeft w:val="0"/>
          <w:marRight w:val="0"/>
          <w:marTop w:val="0"/>
          <w:marBottom w:val="0"/>
          <w:divBdr>
            <w:top w:val="none" w:sz="0" w:space="0" w:color="auto"/>
            <w:left w:val="none" w:sz="0" w:space="0" w:color="auto"/>
            <w:bottom w:val="none" w:sz="0" w:space="0" w:color="auto"/>
            <w:right w:val="none" w:sz="0" w:space="0" w:color="auto"/>
          </w:divBdr>
          <w:divsChild>
            <w:div w:id="411395251">
              <w:marLeft w:val="0"/>
              <w:marRight w:val="0"/>
              <w:marTop w:val="125"/>
              <w:marBottom w:val="0"/>
              <w:divBdr>
                <w:top w:val="none" w:sz="0" w:space="0" w:color="auto"/>
                <w:left w:val="none" w:sz="0" w:space="0" w:color="auto"/>
                <w:bottom w:val="none" w:sz="0" w:space="0" w:color="auto"/>
                <w:right w:val="none" w:sz="0" w:space="0" w:color="auto"/>
              </w:divBdr>
              <w:divsChild>
                <w:div w:id="1957250063">
                  <w:marLeft w:val="0"/>
                  <w:marRight w:val="0"/>
                  <w:marTop w:val="0"/>
                  <w:marBottom w:val="0"/>
                  <w:divBdr>
                    <w:top w:val="none" w:sz="0" w:space="0" w:color="auto"/>
                    <w:left w:val="none" w:sz="0" w:space="0" w:color="auto"/>
                    <w:bottom w:val="none" w:sz="0" w:space="0" w:color="auto"/>
                    <w:right w:val="none" w:sz="0" w:space="0" w:color="auto"/>
                  </w:divBdr>
                  <w:divsChild>
                    <w:div w:id="100230004">
                      <w:marLeft w:val="0"/>
                      <w:marRight w:val="0"/>
                      <w:marTop w:val="0"/>
                      <w:marBottom w:val="0"/>
                      <w:divBdr>
                        <w:top w:val="none" w:sz="0" w:space="0" w:color="auto"/>
                        <w:left w:val="none" w:sz="0" w:space="0" w:color="auto"/>
                        <w:bottom w:val="none" w:sz="0" w:space="0" w:color="auto"/>
                        <w:right w:val="none" w:sz="0" w:space="0" w:color="auto"/>
                      </w:divBdr>
                      <w:divsChild>
                        <w:div w:id="200955007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28EA-2641-4AE9-9C3C-BA840598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 Надежда Вениаминовна</cp:lastModifiedBy>
  <cp:revision>8</cp:revision>
  <dcterms:created xsi:type="dcterms:W3CDTF">2023-01-18T06:14:00Z</dcterms:created>
  <dcterms:modified xsi:type="dcterms:W3CDTF">2023-07-18T13:05:00Z</dcterms:modified>
</cp:coreProperties>
</file>